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89" w:rsidRDefault="009219BF" w:rsidP="00BC1F80">
      <w:pPr>
        <w:tabs>
          <w:tab w:val="right" w:pos="893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E4789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D196BE" wp14:editId="2490BC56">
            <wp:simplePos x="0" y="0"/>
            <wp:positionH relativeFrom="column">
              <wp:posOffset>1218565</wp:posOffset>
            </wp:positionH>
            <wp:positionV relativeFrom="paragraph">
              <wp:posOffset>-215900</wp:posOffset>
            </wp:positionV>
            <wp:extent cx="1251585" cy="586105"/>
            <wp:effectExtent l="0" t="0" r="5715" b="4445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4789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F95E364" wp14:editId="14415D5B">
            <wp:simplePos x="0" y="0"/>
            <wp:positionH relativeFrom="column">
              <wp:posOffset>-1905</wp:posOffset>
            </wp:positionH>
            <wp:positionV relativeFrom="paragraph">
              <wp:posOffset>-216535</wp:posOffset>
            </wp:positionV>
            <wp:extent cx="1042035" cy="676275"/>
            <wp:effectExtent l="0" t="0" r="5715" b="9525"/>
            <wp:wrapNone/>
            <wp:docPr id="9" name="Picture 4" descr="http://intranet/national/PublishingImages/2013_ir/130830_logo_ACPR.gif">
              <a:hlinkClick xmlns:a="http://schemas.openxmlformats.org/drawingml/2006/main" r:id="rId7" tooltip="L’ACP devient l’Autorité de contrôle prudentiel et de résolution (ACPR)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http://intranet/national/PublishingImages/2013_ir/130830_logo_ACPR.gif">
                      <a:hlinkClick r:id="rId7" tooltip="L’ACP devient l’Autorité de contrôle prudentiel et de résolution (ACPR)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789" w:rsidRDefault="006E4789" w:rsidP="00BC1F80">
      <w:pPr>
        <w:tabs>
          <w:tab w:val="right" w:pos="8931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E4789" w:rsidRDefault="006E4789" w:rsidP="00BC1F80">
      <w:pPr>
        <w:tabs>
          <w:tab w:val="right" w:pos="8931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E4789" w:rsidRDefault="006E4789" w:rsidP="00BC1F80">
      <w:pPr>
        <w:tabs>
          <w:tab w:val="right" w:pos="8931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C1F80" w:rsidRPr="00215709" w:rsidRDefault="001F1942" w:rsidP="00BC1F80">
      <w:pPr>
        <w:tabs>
          <w:tab w:val="right" w:pos="893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F3D67">
        <w:rPr>
          <w:rFonts w:asciiTheme="minorHAnsi" w:hAnsiTheme="minorHAnsi" w:cstheme="minorHAnsi"/>
          <w:sz w:val="20"/>
          <w:szCs w:val="20"/>
        </w:rPr>
        <w:t>Public</w:t>
      </w:r>
      <w:r w:rsidR="00BC1F80" w:rsidRPr="00215709">
        <w:rPr>
          <w:rFonts w:asciiTheme="minorHAnsi" w:hAnsiTheme="minorHAnsi" w:cstheme="minorHAnsi"/>
          <w:sz w:val="20"/>
          <w:szCs w:val="20"/>
        </w:rPr>
        <w:tab/>
      </w:r>
      <w:r w:rsidR="009F11BF">
        <w:rPr>
          <w:rFonts w:asciiTheme="minorHAnsi" w:hAnsiTheme="minorHAnsi" w:cstheme="minorHAnsi"/>
          <w:sz w:val="20"/>
          <w:szCs w:val="20"/>
        </w:rPr>
        <w:t>2</w:t>
      </w:r>
      <w:r w:rsidR="000258A0">
        <w:rPr>
          <w:rFonts w:asciiTheme="minorHAnsi" w:hAnsiTheme="minorHAnsi" w:cstheme="minorHAnsi"/>
          <w:sz w:val="20"/>
          <w:szCs w:val="20"/>
        </w:rPr>
        <w:t>5</w:t>
      </w:r>
      <w:r w:rsidR="00EC38CE">
        <w:rPr>
          <w:rFonts w:asciiTheme="minorHAnsi" w:hAnsiTheme="minorHAnsi" w:cstheme="minorHAnsi"/>
          <w:sz w:val="20"/>
          <w:szCs w:val="20"/>
        </w:rPr>
        <w:t>/</w:t>
      </w:r>
      <w:r w:rsidR="009F11BF">
        <w:rPr>
          <w:rFonts w:asciiTheme="minorHAnsi" w:hAnsiTheme="minorHAnsi" w:cstheme="minorHAnsi"/>
          <w:sz w:val="20"/>
          <w:szCs w:val="20"/>
        </w:rPr>
        <w:t>10</w:t>
      </w:r>
      <w:r w:rsidR="00DF3D67" w:rsidRPr="007C3519">
        <w:rPr>
          <w:rFonts w:asciiTheme="minorHAnsi" w:hAnsiTheme="minorHAnsi" w:cstheme="minorHAnsi"/>
          <w:sz w:val="20"/>
          <w:szCs w:val="20"/>
        </w:rPr>
        <w:t>/2021</w:t>
      </w:r>
    </w:p>
    <w:p w:rsidR="00BC1F80" w:rsidRDefault="00BC1F80" w:rsidP="00BC1F80">
      <w:pPr>
        <w:tabs>
          <w:tab w:val="right" w:pos="8931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C1F80" w:rsidRDefault="00BC1F80" w:rsidP="00BC1F8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73F7" w:rsidRDefault="00E273F7" w:rsidP="008A7127">
      <w:pPr>
        <w:jc w:val="both"/>
        <w:rPr>
          <w:rFonts w:asciiTheme="minorHAnsi" w:hAnsiTheme="minorHAnsi" w:cstheme="minorHAnsi"/>
          <w:sz w:val="20"/>
        </w:rPr>
      </w:pPr>
    </w:p>
    <w:p w:rsidR="0021442B" w:rsidRDefault="0021442B" w:rsidP="008A7127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Grilledutableau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1F1942" w:rsidTr="001F1942">
        <w:tc>
          <w:tcPr>
            <w:tcW w:w="9062" w:type="dxa"/>
          </w:tcPr>
          <w:p w:rsidR="001F1942" w:rsidRPr="001F1942" w:rsidRDefault="00DF3D67" w:rsidP="00DF3D6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RUBA – Règles de remise</w:t>
            </w:r>
          </w:p>
        </w:tc>
      </w:tr>
    </w:tbl>
    <w:p w:rsidR="00BE727E" w:rsidRDefault="00BE727E" w:rsidP="008A7127">
      <w:pPr>
        <w:jc w:val="both"/>
        <w:rPr>
          <w:rFonts w:asciiTheme="minorHAnsi" w:hAnsiTheme="minorHAnsi" w:cstheme="minorHAnsi"/>
          <w:sz w:val="20"/>
        </w:rPr>
      </w:pPr>
    </w:p>
    <w:p w:rsidR="0021442B" w:rsidRDefault="0021442B" w:rsidP="0021442B">
      <w:pPr>
        <w:spacing w:before="120"/>
        <w:jc w:val="both"/>
        <w:rPr>
          <w:rFonts w:asciiTheme="minorHAnsi" w:hAnsiTheme="minorHAnsi" w:cstheme="minorHAnsi"/>
          <w:sz w:val="20"/>
        </w:rPr>
      </w:pPr>
    </w:p>
    <w:p w:rsidR="0021442B" w:rsidRPr="00BA56B7" w:rsidRDefault="009A0230" w:rsidP="0021442B">
      <w:pPr>
        <w:spacing w:before="1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>Introduction</w:t>
      </w:r>
    </w:p>
    <w:p w:rsidR="009A0230" w:rsidRPr="00BA56B7" w:rsidRDefault="009A0230" w:rsidP="0021442B">
      <w:pPr>
        <w:spacing w:before="1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 xml:space="preserve">Les règles de remise mentionnées dans ce document sont applicables aux instances XBRL remises par les établissements assujettis au </w:t>
      </w:r>
      <w:proofErr w:type="spellStart"/>
      <w:r w:rsidRPr="00BA56B7">
        <w:rPr>
          <w:rFonts w:asciiTheme="minorHAnsi" w:hAnsiTheme="minorHAnsi" w:cstheme="minorHAnsi"/>
          <w:sz w:val="20"/>
        </w:rPr>
        <w:t>reporting</w:t>
      </w:r>
      <w:proofErr w:type="spellEnd"/>
      <w:r w:rsidRPr="00BA56B7">
        <w:rPr>
          <w:rFonts w:asciiTheme="minorHAnsi" w:hAnsiTheme="minorHAnsi" w:cstheme="minorHAnsi"/>
          <w:sz w:val="20"/>
        </w:rPr>
        <w:t xml:space="preserve"> RUBA.</w:t>
      </w:r>
    </w:p>
    <w:p w:rsidR="009A0230" w:rsidRPr="00BA56B7" w:rsidRDefault="009A0230" w:rsidP="009A0230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A56B7">
        <w:rPr>
          <w:rFonts w:asciiTheme="minorHAnsi" w:hAnsiTheme="minorHAnsi" w:cstheme="minorHAnsi"/>
          <w:sz w:val="20"/>
          <w:szCs w:val="20"/>
        </w:rPr>
        <w:t>Ces règles s’ajoutent aux règles définies dans les spécifications XBRL utilisées : une instance XBRL reçue doit être valide et, sauf dérogation, être conforme à l’ensemble des règles et réglementations applicables (tous les contrôles définis dans la taxonomie doivent, notamment, être satisfaits).</w:t>
      </w:r>
    </w:p>
    <w:p w:rsidR="0021442B" w:rsidRDefault="00793656" w:rsidP="0021442B">
      <w:pPr>
        <w:spacing w:before="1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>Les règles de remise applicables à la taxonomie RUBA sont similaires aux règles de remise « </w:t>
      </w:r>
      <w:proofErr w:type="spellStart"/>
      <w:r w:rsidRPr="00BA56B7">
        <w:rPr>
          <w:rFonts w:asciiTheme="minorHAnsi" w:hAnsiTheme="minorHAnsi" w:cstheme="minorHAnsi"/>
          <w:sz w:val="20"/>
        </w:rPr>
        <w:t>filing</w:t>
      </w:r>
      <w:proofErr w:type="spellEnd"/>
      <w:r w:rsidRPr="00BA56B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A56B7">
        <w:rPr>
          <w:rFonts w:asciiTheme="minorHAnsi" w:hAnsiTheme="minorHAnsi" w:cstheme="minorHAnsi"/>
          <w:sz w:val="20"/>
        </w:rPr>
        <w:t>rules</w:t>
      </w:r>
      <w:proofErr w:type="spellEnd"/>
      <w:r w:rsidRPr="00BA56B7">
        <w:rPr>
          <w:rFonts w:asciiTheme="minorHAnsi" w:hAnsiTheme="minorHAnsi" w:cstheme="minorHAnsi"/>
          <w:sz w:val="20"/>
        </w:rPr>
        <w:t xml:space="preserve"> » publiées par </w:t>
      </w:r>
      <w:r w:rsidR="00034441" w:rsidRPr="00BA56B7">
        <w:rPr>
          <w:rFonts w:asciiTheme="minorHAnsi" w:hAnsiTheme="minorHAnsi" w:cstheme="minorHAnsi"/>
          <w:sz w:val="20"/>
        </w:rPr>
        <w:t>l’Autorité bancaire européenne (</w:t>
      </w:r>
      <w:r w:rsidRPr="00BA56B7">
        <w:rPr>
          <w:rFonts w:asciiTheme="minorHAnsi" w:hAnsiTheme="minorHAnsi" w:cstheme="minorHAnsi"/>
          <w:sz w:val="20"/>
        </w:rPr>
        <w:t>EBA</w:t>
      </w:r>
      <w:r w:rsidR="00034441" w:rsidRPr="00BA56B7">
        <w:rPr>
          <w:rFonts w:asciiTheme="minorHAnsi" w:hAnsiTheme="minorHAnsi" w:cstheme="minorHAnsi"/>
          <w:sz w:val="20"/>
        </w:rPr>
        <w:t>)</w:t>
      </w:r>
      <w:r w:rsidR="00730AAC" w:rsidRPr="00BA56B7">
        <w:rPr>
          <w:rFonts w:asciiTheme="minorHAnsi" w:hAnsiTheme="minorHAnsi" w:cstheme="minorHAnsi"/>
          <w:sz w:val="20"/>
        </w:rPr>
        <w:t xml:space="preserve"> et s’appliquent avec les mêmes niveaux de sévérité</w:t>
      </w:r>
      <w:r w:rsidR="00FA38EE" w:rsidRPr="00BA56B7">
        <w:rPr>
          <w:rFonts w:asciiTheme="minorHAnsi" w:hAnsiTheme="minorHAnsi" w:cstheme="minorHAnsi"/>
          <w:sz w:val="20"/>
        </w:rPr>
        <w:t xml:space="preserve">. L’ensemble du document </w:t>
      </w:r>
      <w:r w:rsidR="00FA38EE" w:rsidRPr="00BA56B7">
        <w:rPr>
          <w:rFonts w:asciiTheme="minorHAnsi" w:hAnsiTheme="minorHAnsi" w:cstheme="minorHAnsi"/>
          <w:b/>
          <w:sz w:val="20"/>
        </w:rPr>
        <w:t xml:space="preserve">EBA </w:t>
      </w:r>
      <w:proofErr w:type="spellStart"/>
      <w:r w:rsidR="00FA38EE" w:rsidRPr="00BA56B7">
        <w:rPr>
          <w:rFonts w:asciiTheme="minorHAnsi" w:hAnsiTheme="minorHAnsi" w:cstheme="minorHAnsi"/>
          <w:b/>
          <w:sz w:val="20"/>
        </w:rPr>
        <w:t>Filing</w:t>
      </w:r>
      <w:proofErr w:type="spellEnd"/>
      <w:r w:rsidR="00FA38EE" w:rsidRPr="00BA56B7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="00FA38EE" w:rsidRPr="00BA56B7">
        <w:rPr>
          <w:rFonts w:asciiTheme="minorHAnsi" w:hAnsiTheme="minorHAnsi" w:cstheme="minorHAnsi"/>
          <w:b/>
          <w:sz w:val="20"/>
        </w:rPr>
        <w:t>Rules</w:t>
      </w:r>
      <w:proofErr w:type="spellEnd"/>
      <w:r w:rsidR="00FA38EE" w:rsidRPr="00BA56B7">
        <w:rPr>
          <w:rFonts w:asciiTheme="minorHAnsi" w:hAnsiTheme="minorHAnsi" w:cstheme="minorHAnsi"/>
          <w:b/>
          <w:sz w:val="20"/>
        </w:rPr>
        <w:t xml:space="preserve"> v</w:t>
      </w:r>
      <w:r w:rsidR="00C75C63">
        <w:rPr>
          <w:rFonts w:asciiTheme="minorHAnsi" w:hAnsiTheme="minorHAnsi" w:cstheme="minorHAnsi"/>
          <w:b/>
          <w:sz w:val="20"/>
        </w:rPr>
        <w:t>5.0</w:t>
      </w:r>
      <w:r w:rsidR="00FA38EE" w:rsidRPr="00BA56B7">
        <w:rPr>
          <w:rFonts w:asciiTheme="minorHAnsi" w:hAnsiTheme="minorHAnsi" w:cstheme="minorHAnsi"/>
          <w:b/>
          <w:sz w:val="20"/>
        </w:rPr>
        <w:t>.pdf</w:t>
      </w:r>
      <w:r w:rsidR="00FA38EE" w:rsidRPr="00BA56B7">
        <w:rPr>
          <w:rFonts w:asciiTheme="minorHAnsi" w:hAnsiTheme="minorHAnsi" w:cstheme="minorHAnsi"/>
          <w:sz w:val="20"/>
        </w:rPr>
        <w:t xml:space="preserve"> publié sur le site internet de l’Autorité s’applique à la taxonomie RUBA,</w:t>
      </w:r>
      <w:r w:rsidRPr="00BA56B7">
        <w:rPr>
          <w:rFonts w:asciiTheme="minorHAnsi" w:hAnsiTheme="minorHAnsi" w:cstheme="minorHAnsi"/>
          <w:sz w:val="20"/>
        </w:rPr>
        <w:t xml:space="preserve"> </w:t>
      </w:r>
      <w:r w:rsidR="00E845A6" w:rsidRPr="00BA56B7">
        <w:rPr>
          <w:rFonts w:asciiTheme="minorHAnsi" w:hAnsiTheme="minorHAnsi" w:cstheme="minorHAnsi"/>
          <w:sz w:val="20"/>
        </w:rPr>
        <w:t>à l’exception des règles suivantes, qui ne s’appliquent pas :</w:t>
      </w:r>
    </w:p>
    <w:p w:rsidR="008F0811" w:rsidRPr="00BA56B7" w:rsidRDefault="008F0811" w:rsidP="008F0811">
      <w:pPr>
        <w:pStyle w:val="Paragraphedeliste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1.6.b —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negativeFiling</w:t>
      </w:r>
      <w:proofErr w:type="spellEnd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indicators</w:t>
      </w:r>
    </w:p>
    <w:p w:rsidR="00E845A6" w:rsidRDefault="00BD7188" w:rsidP="00BD7188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A56B7">
        <w:rPr>
          <w:rFonts w:asciiTheme="minorHAnsi" w:hAnsiTheme="minorHAnsi" w:cstheme="minorHAnsi"/>
          <w:sz w:val="20"/>
          <w:lang w:val="en-GB"/>
        </w:rPr>
        <w:t xml:space="preserve">[EBA] 1.6.c — </w:t>
      </w:r>
      <w:proofErr w:type="spellStart"/>
      <w:r w:rsidRPr="00BA56B7">
        <w:rPr>
          <w:rFonts w:asciiTheme="minorHAnsi" w:hAnsiTheme="minorHAnsi" w:cstheme="minorHAnsi"/>
          <w:sz w:val="20"/>
          <w:lang w:val="en-GB"/>
        </w:rPr>
        <w:t>missingNegativeFilingIndicator</w:t>
      </w:r>
      <w:proofErr w:type="spellEnd"/>
    </w:p>
    <w:p w:rsidR="008E3773" w:rsidRPr="00BA56B7" w:rsidRDefault="008E3773" w:rsidP="00BD7188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A56B7">
        <w:rPr>
          <w:rFonts w:asciiTheme="minorHAnsi" w:hAnsiTheme="minorHAnsi" w:cstheme="minorHAnsi"/>
          <w:sz w:val="20"/>
          <w:szCs w:val="20"/>
          <w:lang w:val="en-GB"/>
        </w:rPr>
        <w:t xml:space="preserve">[EBA] 1.7.b — </w:t>
      </w:r>
      <w:proofErr w:type="spellStart"/>
      <w:r w:rsidRPr="00BA56B7">
        <w:rPr>
          <w:rFonts w:asciiTheme="minorHAnsi" w:hAnsiTheme="minorHAnsi" w:cstheme="minorHAnsi"/>
          <w:sz w:val="20"/>
          <w:szCs w:val="20"/>
          <w:lang w:val="en-GB"/>
        </w:rPr>
        <w:t>positiveFilingIndicatorForNonReportedUnit</w:t>
      </w:r>
      <w:proofErr w:type="spellEnd"/>
    </w:p>
    <w:p w:rsidR="00651D10" w:rsidRPr="00BA56B7" w:rsidRDefault="00651D10" w:rsidP="00651D10">
      <w:pPr>
        <w:pStyle w:val="Paragraphedeliste"/>
        <w:numPr>
          <w:ilvl w:val="0"/>
          <w:numId w:val="20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[EBA] 2.5 — XML comments and documentation are ignored by EBA</w:t>
      </w:r>
    </w:p>
    <w:p w:rsidR="00E845A6" w:rsidRPr="00BA56B7" w:rsidRDefault="00D20458" w:rsidP="00BD7188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A56B7">
        <w:rPr>
          <w:rFonts w:asciiTheme="minorHAnsi" w:hAnsiTheme="minorHAnsi" w:cstheme="minorHAnsi"/>
          <w:sz w:val="20"/>
          <w:lang w:val="en-GB"/>
        </w:rPr>
        <w:t>[EBA] 2.25 — XBRL footnotes are ignored by EBA</w:t>
      </w:r>
    </w:p>
    <w:p w:rsidR="00162B58" w:rsidRPr="00BA56B7" w:rsidRDefault="00D20458" w:rsidP="00BD7188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A56B7">
        <w:rPr>
          <w:rFonts w:asciiTheme="minorHAnsi" w:hAnsiTheme="minorHAnsi" w:cstheme="minorHAnsi"/>
          <w:sz w:val="20"/>
          <w:lang w:val="en-GB"/>
        </w:rPr>
        <w:t>[EBA] 2.8.c —identifier agreed by and registered with the EBA</w:t>
      </w:r>
    </w:p>
    <w:p w:rsidR="00336F21" w:rsidRPr="00BA56B7" w:rsidRDefault="00336F21" w:rsidP="00336F21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A56B7">
        <w:rPr>
          <w:rFonts w:asciiTheme="minorHAnsi" w:hAnsiTheme="minorHAnsi" w:cstheme="minorHAnsi"/>
          <w:sz w:val="20"/>
          <w:lang w:val="en-GB"/>
        </w:rPr>
        <w:t>[EBA] 1.10.b — not Valid according to ITS</w:t>
      </w:r>
      <w:r w:rsidR="00BB4D87" w:rsidRPr="00BA56B7">
        <w:rPr>
          <w:rFonts w:asciiTheme="minorHAnsi" w:hAnsiTheme="minorHAnsi" w:cstheme="minorHAnsi"/>
          <w:sz w:val="20"/>
          <w:lang w:val="en-GB"/>
        </w:rPr>
        <w:t xml:space="preserve"> </w:t>
      </w:r>
      <w:r w:rsidRPr="00BA56B7">
        <w:rPr>
          <w:rFonts w:asciiTheme="minorHAnsi" w:hAnsiTheme="minorHAnsi" w:cstheme="minorHAnsi"/>
          <w:sz w:val="20"/>
          <w:lang w:val="en-GB"/>
        </w:rPr>
        <w:t>validation rules</w:t>
      </w:r>
    </w:p>
    <w:p w:rsidR="00EB7600" w:rsidRDefault="00EB7600" w:rsidP="00EB7600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A56B7">
        <w:rPr>
          <w:rFonts w:asciiTheme="minorHAnsi" w:hAnsiTheme="minorHAnsi" w:cstheme="minorHAnsi"/>
          <w:sz w:val="20"/>
          <w:lang w:val="en-GB"/>
        </w:rPr>
        <w:t xml:space="preserve">[EBA] 3.1.b </w:t>
      </w:r>
      <w:r w:rsidR="008E3518">
        <w:rPr>
          <w:rFonts w:asciiTheme="minorHAnsi" w:hAnsiTheme="minorHAnsi" w:cstheme="minorHAnsi"/>
          <w:sz w:val="20"/>
          <w:lang w:val="en-GB"/>
        </w:rPr>
        <w:t>–</w:t>
      </w:r>
      <w:r w:rsidRPr="00BA56B7">
        <w:rPr>
          <w:rFonts w:asciiTheme="minorHAnsi" w:hAnsiTheme="minorHAnsi" w:cstheme="minorHAnsi"/>
          <w:sz w:val="20"/>
          <w:lang w:val="en-GB"/>
        </w:rPr>
        <w:t xml:space="preserve"> Currency of denomination for monetary facts</w:t>
      </w:r>
    </w:p>
    <w:p w:rsidR="00564F20" w:rsidRPr="000258A0" w:rsidRDefault="00564F20" w:rsidP="00EB7600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0258A0">
        <w:rPr>
          <w:rFonts w:asciiTheme="minorHAnsi" w:hAnsiTheme="minorHAnsi" w:cstheme="minorHAnsi"/>
          <w:bCs/>
          <w:sz w:val="20"/>
          <w:szCs w:val="20"/>
          <w:lang w:val="en-GB"/>
        </w:rPr>
        <w:t>[EBA] 3.1.c - Currency dimensional consistency check for monetary facts</w:t>
      </w:r>
    </w:p>
    <w:p w:rsidR="002E6C31" w:rsidRPr="002E6C31" w:rsidRDefault="002E6C31" w:rsidP="002E6C31">
      <w:pPr>
        <w:pStyle w:val="Paragraphedeliste"/>
        <w:numPr>
          <w:ilvl w:val="0"/>
          <w:numId w:val="20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2E6C31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3.6 </w:t>
      </w:r>
      <w:r w:rsidR="008E3518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– </w:t>
      </w:r>
      <w:r w:rsidRPr="002E6C31">
        <w:rPr>
          <w:rFonts w:asciiTheme="minorHAnsi" w:hAnsiTheme="minorHAnsi" w:cstheme="minorHAnsi"/>
          <w:bCs/>
          <w:sz w:val="20"/>
          <w:szCs w:val="20"/>
          <w:lang w:val="en-GB"/>
        </w:rPr>
        <w:t>LEI and other entity codes</w:t>
      </w:r>
    </w:p>
    <w:p w:rsidR="002E6C31" w:rsidRPr="002E6C31" w:rsidRDefault="002E6C31" w:rsidP="002E6C31">
      <w:pPr>
        <w:pStyle w:val="Paragraphedeliste"/>
        <w:numPr>
          <w:ilvl w:val="0"/>
          <w:numId w:val="20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2E6C31">
        <w:rPr>
          <w:rFonts w:asciiTheme="minorHAnsi" w:hAnsiTheme="minorHAnsi" w:cstheme="minorHAnsi"/>
          <w:bCs/>
          <w:sz w:val="20"/>
          <w:szCs w:val="20"/>
          <w:lang w:val="en-GB"/>
        </w:rPr>
        <w:t>[EBA] 3.8 — Length of strings in instance</w:t>
      </w:r>
    </w:p>
    <w:p w:rsidR="00BA1541" w:rsidRPr="00BA56B7" w:rsidRDefault="00E845A6" w:rsidP="00730AAC">
      <w:pPr>
        <w:spacing w:before="1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>En outre sont ajou</w:t>
      </w:r>
      <w:r w:rsidR="006A50A5" w:rsidRPr="00BA56B7">
        <w:rPr>
          <w:rFonts w:asciiTheme="minorHAnsi" w:hAnsiTheme="minorHAnsi" w:cstheme="minorHAnsi"/>
          <w:sz w:val="20"/>
        </w:rPr>
        <w:t>tées des règles spécifiques à l’ACPR</w:t>
      </w:r>
      <w:r w:rsidR="00252730" w:rsidRPr="00BA56B7">
        <w:rPr>
          <w:rFonts w:asciiTheme="minorHAnsi" w:hAnsiTheme="minorHAnsi" w:cstheme="minorHAnsi"/>
          <w:sz w:val="20"/>
        </w:rPr>
        <w:t xml:space="preserve">, </w:t>
      </w:r>
      <w:r w:rsidR="00860348" w:rsidRPr="00BA56B7">
        <w:rPr>
          <w:rFonts w:asciiTheme="minorHAnsi" w:hAnsiTheme="minorHAnsi" w:cstheme="minorHAnsi"/>
          <w:sz w:val="20"/>
        </w:rPr>
        <w:t xml:space="preserve">et </w:t>
      </w:r>
      <w:r w:rsidR="00252730" w:rsidRPr="00BA56B7">
        <w:rPr>
          <w:rFonts w:asciiTheme="minorHAnsi" w:hAnsiTheme="minorHAnsi" w:cstheme="minorHAnsi"/>
          <w:sz w:val="20"/>
        </w:rPr>
        <w:t>certaines règles</w:t>
      </w:r>
      <w:r w:rsidR="00860348" w:rsidRPr="00BA56B7">
        <w:rPr>
          <w:rFonts w:asciiTheme="minorHAnsi" w:hAnsiTheme="minorHAnsi" w:cstheme="minorHAnsi"/>
          <w:sz w:val="20"/>
        </w:rPr>
        <w:t>,</w:t>
      </w:r>
      <w:r w:rsidR="00252730" w:rsidRPr="00BA56B7">
        <w:rPr>
          <w:rFonts w:asciiTheme="minorHAnsi" w:hAnsiTheme="minorHAnsi" w:cstheme="minorHAnsi"/>
          <w:sz w:val="20"/>
        </w:rPr>
        <w:t xml:space="preserve"> dont le code commence par « F. », sont des variantes de règles européennes, généralement une transformation d’une règle indicative en une règle impérative, due à des contraintes locales, ou un complément (par exemple, en donnant la liste des monnaies de remise utilisables), exemple : F.3.1.a, F.S.2.23…</w:t>
      </w:r>
      <w:r w:rsidRPr="00BA56B7">
        <w:rPr>
          <w:rFonts w:asciiTheme="minorHAnsi" w:hAnsiTheme="minorHAnsi" w:cstheme="minorHAnsi"/>
          <w:sz w:val="20"/>
        </w:rPr>
        <w:t> :</w:t>
      </w:r>
    </w:p>
    <w:p w:rsidR="00E845A6" w:rsidRPr="00BA56B7" w:rsidRDefault="00034441" w:rsidP="000A20F0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A56B7">
        <w:rPr>
          <w:rFonts w:asciiTheme="minorHAnsi" w:hAnsiTheme="minorHAnsi" w:cstheme="minorHAnsi"/>
          <w:sz w:val="20"/>
          <w:lang w:val="en-GB"/>
        </w:rPr>
        <w:t>F.1.10.b</w:t>
      </w:r>
      <w:r w:rsidR="000A20F0" w:rsidRPr="00BA56B7">
        <w:rPr>
          <w:rFonts w:asciiTheme="minorHAnsi" w:hAnsiTheme="minorHAnsi" w:cstheme="minorHAnsi"/>
          <w:sz w:val="20"/>
          <w:lang w:val="en-GB"/>
        </w:rPr>
        <w:t xml:space="preserve"> </w:t>
      </w:r>
      <w:r w:rsidR="008E3518">
        <w:rPr>
          <w:rFonts w:asciiTheme="minorHAnsi" w:hAnsiTheme="minorHAnsi" w:cstheme="minorHAnsi"/>
          <w:sz w:val="20"/>
          <w:lang w:val="en-GB"/>
        </w:rPr>
        <w:t>–</w:t>
      </w:r>
      <w:r w:rsidR="000A20F0" w:rsidRPr="00BA56B7">
        <w:rPr>
          <w:rFonts w:asciiTheme="minorHAnsi" w:hAnsiTheme="minorHAnsi" w:cstheme="minorHAnsi"/>
          <w:sz w:val="20"/>
          <w:lang w:val="en-GB"/>
        </w:rPr>
        <w:t xml:space="preserve"> Valid according to the business rules not implemented in XBRL taxonomy</w:t>
      </w:r>
    </w:p>
    <w:p w:rsidR="00034441" w:rsidRPr="00BA56B7" w:rsidRDefault="00EB7600" w:rsidP="00034441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bCs/>
          <w:sz w:val="20"/>
          <w:szCs w:val="20"/>
        </w:rPr>
        <w:t>F.3.1.a – Monnaie de remise</w:t>
      </w:r>
    </w:p>
    <w:p w:rsidR="00F22344" w:rsidRPr="00BA56B7" w:rsidRDefault="00F22344" w:rsidP="00F22344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 xml:space="preserve">F.2.18.c </w:t>
      </w:r>
      <w:r w:rsidR="008E3518">
        <w:rPr>
          <w:rFonts w:asciiTheme="minorHAnsi" w:hAnsiTheme="minorHAnsi" w:cstheme="minorHAnsi"/>
          <w:sz w:val="20"/>
        </w:rPr>
        <w:t>–</w:t>
      </w:r>
      <w:r w:rsidRPr="00BA56B7">
        <w:rPr>
          <w:rFonts w:asciiTheme="minorHAnsi" w:hAnsiTheme="minorHAnsi" w:cstheme="minorHAnsi"/>
          <w:sz w:val="20"/>
        </w:rPr>
        <w:t xml:space="preserve"> Pourcentages reportés dans les états RUBA….</w:t>
      </w:r>
    </w:p>
    <w:p w:rsidR="009C7FF3" w:rsidRPr="00BA56B7" w:rsidRDefault="009C7FF3" w:rsidP="009C7FF3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>[ACPR] 3.5 — Espaces de nommage définis au début</w:t>
      </w:r>
    </w:p>
    <w:p w:rsidR="00575AB4" w:rsidRPr="00BA56B7" w:rsidRDefault="00575AB4" w:rsidP="00575AB4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A56B7">
        <w:rPr>
          <w:rFonts w:asciiTheme="minorHAnsi" w:hAnsiTheme="minorHAnsi" w:cstheme="minorHAnsi"/>
          <w:sz w:val="20"/>
          <w:lang w:val="en-GB"/>
        </w:rPr>
        <w:t>[ACPR] S.2.22 – Maximum length for strings</w:t>
      </w:r>
    </w:p>
    <w:p w:rsidR="00BA56B7" w:rsidRPr="00BA56B7" w:rsidRDefault="00BA56B7" w:rsidP="00BA56B7">
      <w:pPr>
        <w:pStyle w:val="Paragraphedeliste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 xml:space="preserve">[ACPR] 3.101 </w:t>
      </w:r>
      <w:r w:rsidR="008E3518">
        <w:rPr>
          <w:rFonts w:asciiTheme="minorHAnsi" w:hAnsiTheme="minorHAnsi" w:cstheme="minorHAnsi"/>
          <w:sz w:val="20"/>
        </w:rPr>
        <w:t xml:space="preserve">– </w:t>
      </w:r>
      <w:r w:rsidRPr="00BA56B7">
        <w:rPr>
          <w:rFonts w:asciiTheme="minorHAnsi" w:hAnsiTheme="minorHAnsi" w:cstheme="minorHAnsi"/>
          <w:sz w:val="20"/>
        </w:rPr>
        <w:t xml:space="preserve">Taille limite des éléments </w:t>
      </w:r>
      <w:proofErr w:type="spellStart"/>
      <w:r w:rsidRPr="00BA56B7">
        <w:rPr>
          <w:rFonts w:asciiTheme="minorHAnsi" w:hAnsiTheme="minorHAnsi" w:cstheme="minorHAnsi"/>
          <w:sz w:val="20"/>
        </w:rPr>
        <w:t>footnotes</w:t>
      </w:r>
      <w:proofErr w:type="spellEnd"/>
    </w:p>
    <w:p w:rsidR="00252730" w:rsidRPr="00BA56B7" w:rsidRDefault="00034441" w:rsidP="00034441">
      <w:pPr>
        <w:spacing w:before="1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lastRenderedPageBreak/>
        <w:t xml:space="preserve">Le niveau de sévérité de ces règles est exprimé par les termes DOIT – équivalent </w:t>
      </w:r>
      <w:r w:rsidR="0060011F" w:rsidRPr="00BA56B7">
        <w:rPr>
          <w:rFonts w:asciiTheme="minorHAnsi" w:hAnsiTheme="minorHAnsi" w:cstheme="minorHAnsi"/>
          <w:sz w:val="20"/>
        </w:rPr>
        <w:t>à</w:t>
      </w:r>
      <w:r w:rsidRPr="00BA56B7">
        <w:rPr>
          <w:rFonts w:asciiTheme="minorHAnsi" w:hAnsiTheme="minorHAnsi" w:cstheme="minorHAnsi"/>
          <w:sz w:val="20"/>
        </w:rPr>
        <w:t xml:space="preserve"> l’anglais MUST – et DEVRAIT – équivalent </w:t>
      </w:r>
      <w:r w:rsidR="0060011F" w:rsidRPr="00BA56B7">
        <w:rPr>
          <w:rFonts w:asciiTheme="minorHAnsi" w:hAnsiTheme="minorHAnsi" w:cstheme="minorHAnsi"/>
          <w:sz w:val="20"/>
        </w:rPr>
        <w:t>à</w:t>
      </w:r>
      <w:r w:rsidRPr="00BA56B7">
        <w:rPr>
          <w:rFonts w:asciiTheme="minorHAnsi" w:hAnsiTheme="minorHAnsi" w:cstheme="minorHAnsi"/>
          <w:sz w:val="20"/>
        </w:rPr>
        <w:t xml:space="preserve"> l’anglais SHOULD.</w:t>
      </w:r>
    </w:p>
    <w:p w:rsidR="00034441" w:rsidRPr="00BA56B7" w:rsidRDefault="00034441" w:rsidP="00034441">
      <w:pPr>
        <w:spacing w:before="120"/>
        <w:jc w:val="both"/>
        <w:rPr>
          <w:rFonts w:asciiTheme="minorHAnsi" w:hAnsiTheme="minorHAnsi" w:cstheme="minorHAnsi"/>
          <w:sz w:val="20"/>
        </w:rPr>
      </w:pPr>
    </w:p>
    <w:p w:rsidR="00D338BB" w:rsidRPr="00BA56B7" w:rsidRDefault="00D338BB" w:rsidP="0021442B">
      <w:pPr>
        <w:spacing w:before="120"/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</w:pPr>
      <w:r w:rsidRPr="00BA56B7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Règles de remise applicables à la taxonomie RUBA 1.0</w:t>
      </w:r>
      <w:r w:rsidRPr="000258A0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.</w:t>
      </w:r>
      <w:r w:rsidR="006C01BC" w:rsidRPr="000258A0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1</w:t>
      </w:r>
    </w:p>
    <w:p w:rsidR="00D338BB" w:rsidRPr="00BA56B7" w:rsidRDefault="00D338BB" w:rsidP="0021442B">
      <w:pPr>
        <w:spacing w:before="1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 xml:space="preserve">La référence [EBA] renvoie au document </w:t>
      </w:r>
      <w:r w:rsidRPr="00BA56B7">
        <w:rPr>
          <w:rFonts w:asciiTheme="minorHAnsi" w:hAnsiTheme="minorHAnsi" w:cstheme="minorHAnsi"/>
          <w:b/>
          <w:sz w:val="20"/>
        </w:rPr>
        <w:t xml:space="preserve">EBA </w:t>
      </w:r>
      <w:proofErr w:type="spellStart"/>
      <w:r w:rsidRPr="00BA56B7">
        <w:rPr>
          <w:rFonts w:asciiTheme="minorHAnsi" w:hAnsiTheme="minorHAnsi" w:cstheme="minorHAnsi"/>
          <w:b/>
          <w:sz w:val="20"/>
        </w:rPr>
        <w:t>Filing</w:t>
      </w:r>
      <w:proofErr w:type="spellEnd"/>
      <w:r w:rsidRPr="00BA56B7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BA56B7">
        <w:rPr>
          <w:rFonts w:asciiTheme="minorHAnsi" w:hAnsiTheme="minorHAnsi" w:cstheme="minorHAnsi"/>
          <w:b/>
          <w:sz w:val="20"/>
        </w:rPr>
        <w:t>Rules</w:t>
      </w:r>
      <w:proofErr w:type="spellEnd"/>
      <w:r w:rsidRPr="00BA56B7">
        <w:rPr>
          <w:rFonts w:asciiTheme="minorHAnsi" w:hAnsiTheme="minorHAnsi" w:cstheme="minorHAnsi"/>
          <w:b/>
          <w:sz w:val="20"/>
        </w:rPr>
        <w:t xml:space="preserve"> v</w:t>
      </w:r>
      <w:r w:rsidR="001F6541">
        <w:rPr>
          <w:rFonts w:asciiTheme="minorHAnsi" w:hAnsiTheme="minorHAnsi" w:cstheme="minorHAnsi"/>
          <w:b/>
          <w:sz w:val="20"/>
        </w:rPr>
        <w:t>5</w:t>
      </w:r>
      <w:r w:rsidRPr="00BA56B7">
        <w:rPr>
          <w:rFonts w:asciiTheme="minorHAnsi" w:hAnsiTheme="minorHAnsi" w:cstheme="minorHAnsi"/>
          <w:b/>
          <w:sz w:val="20"/>
        </w:rPr>
        <w:t>.</w:t>
      </w:r>
      <w:r w:rsidR="001F6541">
        <w:rPr>
          <w:rFonts w:asciiTheme="minorHAnsi" w:hAnsiTheme="minorHAnsi" w:cstheme="minorHAnsi"/>
          <w:b/>
          <w:sz w:val="20"/>
        </w:rPr>
        <w:t>0</w:t>
      </w:r>
      <w:r w:rsidRPr="00BA56B7">
        <w:rPr>
          <w:rFonts w:asciiTheme="minorHAnsi" w:hAnsiTheme="minorHAnsi" w:cstheme="minorHAnsi"/>
          <w:b/>
          <w:sz w:val="20"/>
        </w:rPr>
        <w:t>.pdf</w:t>
      </w:r>
      <w:r w:rsidR="008D3967" w:rsidRPr="00BA56B7">
        <w:rPr>
          <w:rFonts w:asciiTheme="minorHAnsi" w:hAnsiTheme="minorHAnsi" w:cstheme="minorHAnsi"/>
          <w:sz w:val="20"/>
        </w:rPr>
        <w:t xml:space="preserve"> publié sur </w:t>
      </w:r>
      <w:r w:rsidR="001251CE" w:rsidRPr="00BA56B7">
        <w:rPr>
          <w:rFonts w:asciiTheme="minorHAnsi" w:hAnsiTheme="minorHAnsi" w:cstheme="minorHAnsi"/>
          <w:sz w:val="20"/>
        </w:rPr>
        <w:t>le site internet de l’EBA</w:t>
      </w:r>
      <w:r w:rsidR="00162B58" w:rsidRPr="00BA56B7">
        <w:rPr>
          <w:rFonts w:asciiTheme="minorHAnsi" w:hAnsiTheme="minorHAnsi" w:cstheme="minorHAnsi"/>
          <w:sz w:val="20"/>
        </w:rPr>
        <w:t>.</w:t>
      </w:r>
      <w:r w:rsidR="001251CE" w:rsidRPr="00BA56B7">
        <w:rPr>
          <w:rFonts w:asciiTheme="minorHAnsi" w:hAnsiTheme="minorHAnsi" w:cstheme="minorHAnsi"/>
          <w:sz w:val="20"/>
        </w:rPr>
        <w:t xml:space="preserve"> Les règles ajoutées </w:t>
      </w:r>
      <w:r w:rsidR="00034441" w:rsidRPr="00BA56B7">
        <w:rPr>
          <w:rFonts w:asciiTheme="minorHAnsi" w:hAnsiTheme="minorHAnsi" w:cstheme="minorHAnsi"/>
          <w:sz w:val="20"/>
        </w:rPr>
        <w:t>sont identifiées par les</w:t>
      </w:r>
      <w:r w:rsidR="001251CE" w:rsidRPr="00BA56B7">
        <w:rPr>
          <w:rFonts w:asciiTheme="minorHAnsi" w:hAnsiTheme="minorHAnsi" w:cstheme="minorHAnsi"/>
          <w:sz w:val="20"/>
        </w:rPr>
        <w:t xml:space="preserve"> référence</w:t>
      </w:r>
      <w:r w:rsidR="00034441" w:rsidRPr="00BA56B7">
        <w:rPr>
          <w:rFonts w:asciiTheme="minorHAnsi" w:hAnsiTheme="minorHAnsi" w:cstheme="minorHAnsi"/>
          <w:sz w:val="20"/>
        </w:rPr>
        <w:t>s</w:t>
      </w:r>
      <w:r w:rsidR="001251CE" w:rsidRPr="00BA56B7">
        <w:rPr>
          <w:rFonts w:asciiTheme="minorHAnsi" w:hAnsiTheme="minorHAnsi" w:cstheme="minorHAnsi"/>
          <w:sz w:val="20"/>
        </w:rPr>
        <w:t xml:space="preserve"> [ACPR]</w:t>
      </w:r>
      <w:r w:rsidR="00034441" w:rsidRPr="00BA56B7">
        <w:rPr>
          <w:rFonts w:asciiTheme="minorHAnsi" w:hAnsiTheme="minorHAnsi" w:cstheme="minorHAnsi"/>
          <w:sz w:val="20"/>
        </w:rPr>
        <w:t xml:space="preserve"> ou « F. »</w:t>
      </w:r>
      <w:r w:rsidR="001251CE" w:rsidRPr="00BA56B7">
        <w:rPr>
          <w:rFonts w:asciiTheme="minorHAnsi" w:hAnsiTheme="minorHAnsi" w:cstheme="minorHAnsi"/>
          <w:sz w:val="20"/>
        </w:rPr>
        <w:t>.</w:t>
      </w:r>
    </w:p>
    <w:p w:rsidR="007E1836" w:rsidRPr="00BA56B7" w:rsidRDefault="007E1836" w:rsidP="009522D2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BA56B7">
        <w:rPr>
          <w:rFonts w:asciiTheme="minorHAnsi" w:hAnsiTheme="minorHAnsi" w:cstheme="minorHAnsi"/>
          <w:b/>
          <w:sz w:val="24"/>
          <w:szCs w:val="24"/>
          <w:lang w:val="en-GB"/>
        </w:rPr>
        <w:t>[EBA] 1. Filing syntax rules</w:t>
      </w:r>
    </w:p>
    <w:p w:rsidR="00D338BB" w:rsidRPr="00BA56B7" w:rsidRDefault="00D338BB" w:rsidP="0021442B">
      <w:p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[EBA] 1.1 — Filing naming</w:t>
      </w:r>
    </w:p>
    <w:p w:rsidR="00162B58" w:rsidRPr="00BA56B7" w:rsidRDefault="006A20C6" w:rsidP="0021442B">
      <w:p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162B58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1.4 — Character encoding of XBRL instance documents</w:t>
      </w:r>
    </w:p>
    <w:p w:rsidR="00162B58" w:rsidRPr="00BA56B7" w:rsidRDefault="006A20C6" w:rsidP="0021442B">
      <w:p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E1836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</w:t>
      </w:r>
      <w:r w:rsidR="00162B58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5 — Taxonomy entry point selection</w:t>
      </w:r>
    </w:p>
    <w:p w:rsidR="001251CE" w:rsidRPr="00BA56B7" w:rsidRDefault="001251CE" w:rsidP="001251CE">
      <w:pPr>
        <w:pStyle w:val="Paragraphedeliste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[EBA] 1.5.a —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SchemaRef</w:t>
      </w:r>
      <w:proofErr w:type="spellEnd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unicity</w:t>
      </w:r>
    </w:p>
    <w:p w:rsidR="001251CE" w:rsidRPr="00BA56B7" w:rsidRDefault="001251CE" w:rsidP="001251CE">
      <w:pPr>
        <w:pStyle w:val="Paragraphedeliste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1.5.b —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inappropriateSchemaRef</w:t>
      </w:r>
      <w:proofErr w:type="spellEnd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not allowed</w:t>
      </w:r>
    </w:p>
    <w:p w:rsidR="00162B58" w:rsidRPr="00BA56B7" w:rsidRDefault="006A20C6" w:rsidP="0021442B">
      <w:p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162B58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1.6 — Filing indicators</w:t>
      </w:r>
    </w:p>
    <w:p w:rsidR="00D20458" w:rsidRPr="00BA56B7" w:rsidRDefault="00D20458" w:rsidP="00D20458">
      <w:pPr>
        <w:pStyle w:val="Paragraphedeliste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1.6.a —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missingPositiveFiling</w:t>
      </w:r>
      <w:proofErr w:type="spellEnd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indicators</w:t>
      </w:r>
    </w:p>
    <w:p w:rsidR="00730AAC" w:rsidRDefault="00730AAC" w:rsidP="00730AAC">
      <w:pPr>
        <w:pStyle w:val="Paragraphedeliste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1.6.d —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invalidContextForFilingIndicator</w:t>
      </w:r>
      <w:proofErr w:type="spellEnd"/>
    </w:p>
    <w:p w:rsidR="00564F20" w:rsidRPr="00D865D2" w:rsidRDefault="00564F20" w:rsidP="00730AAC">
      <w:pPr>
        <w:pStyle w:val="Paragraphedeliste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D865D2">
        <w:rPr>
          <w:rFonts w:asciiTheme="minorHAnsi" w:hAnsiTheme="minorHAnsi" w:cstheme="minorHAnsi"/>
          <w:bCs/>
          <w:sz w:val="20"/>
          <w:szCs w:val="20"/>
          <w:lang w:val="en-GB"/>
        </w:rPr>
        <w:t>[EBA] 1.6.</w:t>
      </w:r>
      <w:r w:rsidRPr="00D865D2">
        <w:rPr>
          <w:sz w:val="20"/>
          <w:szCs w:val="20"/>
        </w:rPr>
        <w:t xml:space="preserve">e </w:t>
      </w:r>
      <w:r w:rsidRPr="00D865D2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— </w:t>
      </w:r>
      <w:proofErr w:type="spellStart"/>
      <w:r w:rsidRPr="00D865D2">
        <w:rPr>
          <w:sz w:val="20"/>
          <w:szCs w:val="20"/>
        </w:rPr>
        <w:t>missingilingIndicator</w:t>
      </w:r>
      <w:proofErr w:type="spellEnd"/>
    </w:p>
    <w:p w:rsidR="00162B58" w:rsidRPr="00BA56B7" w:rsidRDefault="006A20C6" w:rsidP="0021442B">
      <w:p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162B58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1.6.1 — Multiple filing indicators for the same reporting unit</w:t>
      </w:r>
    </w:p>
    <w:p w:rsidR="00162B58" w:rsidRPr="00BA56B7" w:rsidRDefault="006A20C6" w:rsidP="0021442B">
      <w:pPr>
        <w:spacing w:before="120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162B58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1.6.2 —Filing indicators in several tuples</w:t>
      </w:r>
    </w:p>
    <w:p w:rsidR="00162B58" w:rsidRPr="00BA56B7" w:rsidRDefault="006A20C6" w:rsidP="00162B58">
      <w:pPr>
        <w:pStyle w:val="Default"/>
        <w:spacing w:before="120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162B58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1.6.3 – Filing indicator codes </w:t>
      </w:r>
    </w:p>
    <w:p w:rsidR="00365ACE" w:rsidRPr="00BA56B7" w:rsidRDefault="006A20C6" w:rsidP="00162B58">
      <w:pPr>
        <w:pStyle w:val="Default"/>
        <w:spacing w:before="120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779C5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1.7 — Implication of no facts for an indicated template</w:t>
      </w:r>
    </w:p>
    <w:p w:rsidR="00D82E42" w:rsidRPr="00BA56B7" w:rsidRDefault="00D82E42" w:rsidP="00D82E42">
      <w:pPr>
        <w:pStyle w:val="Default"/>
        <w:numPr>
          <w:ilvl w:val="0"/>
          <w:numId w:val="19"/>
        </w:numPr>
        <w:spacing w:before="120"/>
        <w:rPr>
          <w:rFonts w:asciiTheme="minorHAnsi" w:hAnsiTheme="minorHAnsi" w:cstheme="minorHAnsi"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sz w:val="20"/>
          <w:szCs w:val="20"/>
          <w:lang w:val="en-GB"/>
        </w:rPr>
        <w:t xml:space="preserve">[EBA] 1.7.a — </w:t>
      </w:r>
      <w:proofErr w:type="spellStart"/>
      <w:r w:rsidRPr="00BA56B7">
        <w:rPr>
          <w:rFonts w:asciiTheme="minorHAnsi" w:hAnsiTheme="minorHAnsi" w:cstheme="minorHAnsi"/>
          <w:sz w:val="20"/>
          <w:szCs w:val="20"/>
          <w:lang w:val="en-GB"/>
        </w:rPr>
        <w:t>missingPositiveFilingIndicator</w:t>
      </w:r>
      <w:proofErr w:type="spellEnd"/>
    </w:p>
    <w:p w:rsidR="00066722" w:rsidRPr="00BA56B7" w:rsidRDefault="008E3773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r w:rsidR="006A20C6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779C5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1.7.1 — No facts for non-indicated templates</w:t>
      </w:r>
    </w:p>
    <w:p w:rsidR="003779C5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D82E42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</w:t>
      </w:r>
      <w:r w:rsidR="003779C5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9 — Valid XML-XBRL</w:t>
      </w:r>
    </w:p>
    <w:p w:rsidR="003779C5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779C5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1.10 — Valid according to the defined business rules</w:t>
      </w:r>
    </w:p>
    <w:p w:rsidR="00336F21" w:rsidRPr="00BA56B7" w:rsidRDefault="00336F21" w:rsidP="00336F21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[EBA] 1.10.a — not Valid According To Taxonomy Validation Rules</w:t>
      </w:r>
    </w:p>
    <w:p w:rsidR="000A20F0" w:rsidRPr="00BA56B7" w:rsidRDefault="00860348" w:rsidP="000A20F0">
      <w:pPr>
        <w:pStyle w:val="Paragraphedeliste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sz w:val="20"/>
          <w:lang w:val="en-GB"/>
        </w:rPr>
      </w:pPr>
      <w:r w:rsidRPr="00BA56B7">
        <w:rPr>
          <w:rFonts w:asciiTheme="minorHAnsi" w:hAnsiTheme="minorHAnsi" w:cstheme="minorHAnsi"/>
          <w:sz w:val="20"/>
          <w:lang w:val="en-GB"/>
        </w:rPr>
        <w:t>F.</w:t>
      </w:r>
      <w:r w:rsidR="000A20F0" w:rsidRPr="00BA56B7">
        <w:rPr>
          <w:rFonts w:asciiTheme="minorHAnsi" w:hAnsiTheme="minorHAnsi" w:cstheme="minorHAnsi"/>
          <w:sz w:val="20"/>
          <w:lang w:val="en-GB"/>
        </w:rPr>
        <w:t>1.10.</w:t>
      </w:r>
      <w:r w:rsidRPr="00BA56B7">
        <w:rPr>
          <w:rFonts w:asciiTheme="minorHAnsi" w:hAnsiTheme="minorHAnsi" w:cstheme="minorHAnsi"/>
          <w:sz w:val="20"/>
          <w:lang w:val="en-GB"/>
        </w:rPr>
        <w:t>b</w:t>
      </w:r>
      <w:r w:rsidR="000A20F0" w:rsidRPr="00BA56B7">
        <w:rPr>
          <w:rFonts w:asciiTheme="minorHAnsi" w:hAnsiTheme="minorHAnsi" w:cstheme="minorHAnsi"/>
          <w:sz w:val="20"/>
          <w:lang w:val="en-GB"/>
        </w:rPr>
        <w:t xml:space="preserve"> - Valid according to the business rules not implemented in XBRL taxonomy</w:t>
      </w:r>
    </w:p>
    <w:p w:rsidR="00B33F3F" w:rsidRPr="00BA56B7" w:rsidRDefault="00B33F3F" w:rsidP="00B33F3F">
      <w:pPr>
        <w:spacing w:before="120"/>
        <w:ind w:left="720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>L’instance DOIT être valide en application des contrôles spécifiques publiés sur le site e-</w:t>
      </w:r>
      <w:proofErr w:type="spellStart"/>
      <w:r w:rsidRPr="00BA56B7">
        <w:rPr>
          <w:rFonts w:asciiTheme="minorHAnsi" w:hAnsiTheme="minorHAnsi" w:cstheme="minorHAnsi"/>
          <w:sz w:val="20"/>
        </w:rPr>
        <w:t>Surfi</w:t>
      </w:r>
      <w:proofErr w:type="spellEnd"/>
      <w:r w:rsidRPr="00BA56B7">
        <w:rPr>
          <w:rFonts w:asciiTheme="minorHAnsi" w:hAnsiTheme="minorHAnsi" w:cstheme="minorHAnsi"/>
          <w:sz w:val="20"/>
        </w:rPr>
        <w:t xml:space="preserve"> banque de l’ACPR.</w:t>
      </w:r>
    </w:p>
    <w:p w:rsidR="00113E4F" w:rsidRPr="00BA56B7" w:rsidRDefault="00B33F3F" w:rsidP="000A20F0">
      <w:pPr>
        <w:spacing w:before="120"/>
        <w:ind w:left="708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>Les co</w:t>
      </w:r>
      <w:r w:rsidR="000A20F0" w:rsidRPr="00BA56B7">
        <w:rPr>
          <w:rFonts w:asciiTheme="minorHAnsi" w:hAnsiTheme="minorHAnsi" w:cstheme="minorHAnsi"/>
          <w:sz w:val="20"/>
        </w:rPr>
        <w:t xml:space="preserve">ntrôles spécifiques </w:t>
      </w:r>
      <w:r w:rsidRPr="00BA56B7">
        <w:rPr>
          <w:rFonts w:asciiTheme="minorHAnsi" w:hAnsiTheme="minorHAnsi" w:cstheme="minorHAnsi"/>
          <w:sz w:val="20"/>
        </w:rPr>
        <w:t>sont des</w:t>
      </w:r>
      <w:r w:rsidR="000A20F0" w:rsidRPr="00BA56B7">
        <w:rPr>
          <w:rFonts w:asciiTheme="minorHAnsi" w:hAnsiTheme="minorHAnsi" w:cstheme="minorHAnsi"/>
          <w:sz w:val="20"/>
        </w:rPr>
        <w:t xml:space="preserve"> contrôles non portés par les taxonomies</w:t>
      </w:r>
      <w:r w:rsidRPr="00BA56B7">
        <w:rPr>
          <w:rFonts w:asciiTheme="minorHAnsi" w:hAnsiTheme="minorHAnsi" w:cstheme="minorHAnsi"/>
          <w:sz w:val="20"/>
        </w:rPr>
        <w:t>, qui comprennent notamment des contrôles</w:t>
      </w:r>
      <w:r w:rsidR="000A20F0" w:rsidRPr="00BA56B7">
        <w:rPr>
          <w:rFonts w:asciiTheme="minorHAnsi" w:hAnsiTheme="minorHAnsi" w:cstheme="minorHAnsi"/>
          <w:sz w:val="20"/>
        </w:rPr>
        <w:t xml:space="preserve"> inter-instances</w:t>
      </w:r>
      <w:r w:rsidR="00113E4F" w:rsidRPr="00BA56B7">
        <w:rPr>
          <w:rFonts w:asciiTheme="minorHAnsi" w:hAnsiTheme="minorHAnsi" w:cstheme="minorHAnsi"/>
          <w:sz w:val="20"/>
        </w:rPr>
        <w:t xml:space="preserve"> et des contrôles conditionnels.</w:t>
      </w:r>
    </w:p>
    <w:p w:rsidR="000A20F0" w:rsidRPr="00BA56B7" w:rsidRDefault="00113E4F" w:rsidP="000A20F0">
      <w:pPr>
        <w:spacing w:before="120"/>
        <w:ind w:left="708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>Les contrôles conditionnels « </w:t>
      </w:r>
      <w:r w:rsidR="000A20F0" w:rsidRPr="00BA56B7">
        <w:rPr>
          <w:rFonts w:asciiTheme="minorHAnsi" w:hAnsiTheme="minorHAnsi" w:cstheme="minorHAnsi"/>
          <w:sz w:val="20"/>
        </w:rPr>
        <w:t xml:space="preserve">si Remise = France </w:t>
      </w:r>
      <w:proofErr w:type="spellStart"/>
      <w:r w:rsidR="000A20F0" w:rsidRPr="00BA56B7">
        <w:rPr>
          <w:rFonts w:asciiTheme="minorHAnsi" w:hAnsiTheme="minorHAnsi" w:cstheme="minorHAnsi"/>
          <w:sz w:val="20"/>
        </w:rPr>
        <w:t>unizone</w:t>
      </w:r>
      <w:proofErr w:type="spellEnd"/>
      <w:r w:rsidRPr="00BA56B7">
        <w:rPr>
          <w:rFonts w:asciiTheme="minorHAnsi" w:hAnsiTheme="minorHAnsi" w:cstheme="minorHAnsi"/>
          <w:sz w:val="20"/>
        </w:rPr>
        <w:t> » et</w:t>
      </w:r>
      <w:r w:rsidR="000A20F0" w:rsidRPr="00BA56B7">
        <w:rPr>
          <w:rFonts w:asciiTheme="minorHAnsi" w:hAnsiTheme="minorHAnsi" w:cstheme="minorHAnsi"/>
          <w:sz w:val="20"/>
        </w:rPr>
        <w:t xml:space="preserve"> </w:t>
      </w:r>
      <w:r w:rsidRPr="00BA56B7">
        <w:rPr>
          <w:rFonts w:asciiTheme="minorHAnsi" w:hAnsiTheme="minorHAnsi" w:cstheme="minorHAnsi"/>
          <w:sz w:val="20"/>
        </w:rPr>
        <w:t>« </w:t>
      </w:r>
      <w:r w:rsidR="000A20F0" w:rsidRPr="00BA56B7">
        <w:rPr>
          <w:rFonts w:asciiTheme="minorHAnsi" w:hAnsiTheme="minorHAnsi" w:cstheme="minorHAnsi"/>
          <w:sz w:val="20"/>
        </w:rPr>
        <w:t>si Rem</w:t>
      </w:r>
      <w:r w:rsidRPr="00BA56B7">
        <w:rPr>
          <w:rFonts w:asciiTheme="minorHAnsi" w:hAnsiTheme="minorHAnsi" w:cstheme="minorHAnsi"/>
          <w:sz w:val="20"/>
        </w:rPr>
        <w:t xml:space="preserve">ise = Reste du monde </w:t>
      </w:r>
      <w:proofErr w:type="spellStart"/>
      <w:r w:rsidRPr="00BA56B7">
        <w:rPr>
          <w:rFonts w:asciiTheme="minorHAnsi" w:hAnsiTheme="minorHAnsi" w:cstheme="minorHAnsi"/>
          <w:sz w:val="20"/>
        </w:rPr>
        <w:t>unizone</w:t>
      </w:r>
      <w:proofErr w:type="spellEnd"/>
      <w:r w:rsidRPr="00BA56B7">
        <w:rPr>
          <w:rFonts w:asciiTheme="minorHAnsi" w:hAnsiTheme="minorHAnsi" w:cstheme="minorHAnsi"/>
          <w:sz w:val="20"/>
        </w:rPr>
        <w:t> »</w:t>
      </w:r>
      <w:r w:rsidR="000A20F0" w:rsidRPr="00BA56B7">
        <w:rPr>
          <w:rFonts w:asciiTheme="minorHAnsi" w:hAnsiTheme="minorHAnsi" w:cstheme="minorHAnsi"/>
          <w:sz w:val="20"/>
        </w:rPr>
        <w:t xml:space="preserve"> dépendent de l’activité de l’assujetti et ne sont à effectuer qu’en fonction du lieu d’implantation des établissements.</w:t>
      </w:r>
    </w:p>
    <w:p w:rsidR="000A20F0" w:rsidRPr="00BA56B7" w:rsidRDefault="000A20F0" w:rsidP="000A20F0">
      <w:pPr>
        <w:spacing w:before="120"/>
        <w:ind w:left="708"/>
        <w:jc w:val="both"/>
        <w:rPr>
          <w:rFonts w:asciiTheme="minorHAnsi" w:hAnsiTheme="minorHAnsi" w:cstheme="minorHAnsi"/>
          <w:sz w:val="20"/>
        </w:rPr>
      </w:pPr>
      <w:r w:rsidRPr="00BA56B7">
        <w:rPr>
          <w:rFonts w:asciiTheme="minorHAnsi" w:hAnsiTheme="minorHAnsi" w:cstheme="minorHAnsi"/>
          <w:sz w:val="20"/>
        </w:rPr>
        <w:t>Par exemple : si l'activité de l'établissement est limitée à la France et/ou les départements d'outre-mer, les faits remis dans les états « toutes zones » (RB.40.01, RB.42…) doivent être comparés aux faits remis dans l’état RB.02.01.</w:t>
      </w:r>
    </w:p>
    <w:p w:rsidR="003779C5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779C5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1.11 — Taxonomy extensions by reporters</w:t>
      </w:r>
    </w:p>
    <w:p w:rsidR="003779C5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779C5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1.12 — Completeness of the instance</w:t>
      </w:r>
    </w:p>
    <w:p w:rsidR="003779C5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779C5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1.13 — Standalone Document Declaration</w:t>
      </w:r>
    </w:p>
    <w:p w:rsidR="003779C5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779C5" w:rsidRPr="00BA56B7">
        <w:rPr>
          <w:rFonts w:asciiTheme="minorHAnsi" w:hAnsiTheme="minorHAnsi" w:cstheme="minorHAnsi"/>
          <w:sz w:val="20"/>
          <w:szCs w:val="20"/>
          <w:lang w:val="en-GB"/>
        </w:rPr>
        <w:t>1.14 — @</w:t>
      </w:r>
      <w:proofErr w:type="spellStart"/>
      <w:r w:rsidR="003779C5" w:rsidRPr="00BA56B7">
        <w:rPr>
          <w:rFonts w:asciiTheme="minorHAnsi" w:hAnsiTheme="minorHAnsi" w:cstheme="minorHAnsi"/>
          <w:sz w:val="20"/>
          <w:szCs w:val="20"/>
          <w:lang w:val="en-GB"/>
        </w:rPr>
        <w:t>xsd</w:t>
      </w:r>
      <w:proofErr w:type="gramStart"/>
      <w:r w:rsidR="003779C5" w:rsidRPr="00BA56B7">
        <w:rPr>
          <w:rFonts w:asciiTheme="minorHAnsi" w:hAnsiTheme="minorHAnsi" w:cstheme="minorHAnsi"/>
          <w:sz w:val="20"/>
          <w:szCs w:val="20"/>
          <w:lang w:val="en-GB"/>
        </w:rPr>
        <w:t>:schemaLocation</w:t>
      </w:r>
      <w:proofErr w:type="spellEnd"/>
      <w:proofErr w:type="gramEnd"/>
      <w:r w:rsidR="003779C5" w:rsidRPr="00BA56B7">
        <w:rPr>
          <w:rFonts w:asciiTheme="minorHAnsi" w:hAnsiTheme="minorHAnsi" w:cstheme="minorHAnsi"/>
          <w:sz w:val="20"/>
          <w:szCs w:val="20"/>
          <w:lang w:val="en-GB"/>
        </w:rPr>
        <w:t xml:space="preserve"> and @</w:t>
      </w:r>
      <w:proofErr w:type="spellStart"/>
      <w:r w:rsidR="003779C5" w:rsidRPr="00BA56B7">
        <w:rPr>
          <w:rFonts w:asciiTheme="minorHAnsi" w:hAnsiTheme="minorHAnsi" w:cstheme="minorHAnsi"/>
          <w:sz w:val="20"/>
          <w:szCs w:val="20"/>
          <w:lang w:val="en-GB"/>
        </w:rPr>
        <w:t>xsd:noNamespaceSchemaLocation</w:t>
      </w:r>
      <w:proofErr w:type="spellEnd"/>
    </w:p>
    <w:p w:rsidR="003779C5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lastRenderedPageBreak/>
        <w:t xml:space="preserve">[EBA] </w:t>
      </w:r>
      <w:r w:rsidR="003779C5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1.15 — </w:t>
      </w:r>
      <w:proofErr w:type="spellStart"/>
      <w:r w:rsidR="003779C5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XInclude</w:t>
      </w:r>
      <w:proofErr w:type="spellEnd"/>
    </w:p>
    <w:p w:rsidR="003779C5" w:rsidRPr="00BA56B7" w:rsidRDefault="00883BF2" w:rsidP="009522D2">
      <w:pPr>
        <w:spacing w:before="240" w:line="260" w:lineRule="atLeast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BA56B7">
        <w:rPr>
          <w:rFonts w:asciiTheme="minorHAnsi" w:hAnsiTheme="minorHAnsi" w:cstheme="minorHAnsi"/>
          <w:b/>
          <w:sz w:val="24"/>
          <w:szCs w:val="24"/>
          <w:lang w:val="en-GB"/>
        </w:rPr>
        <w:t xml:space="preserve">[EBA] </w:t>
      </w:r>
      <w:r w:rsidR="003779C5" w:rsidRPr="00BA56B7">
        <w:rPr>
          <w:rFonts w:asciiTheme="minorHAnsi" w:hAnsiTheme="minorHAnsi" w:cstheme="minorHAnsi"/>
          <w:b/>
          <w:sz w:val="24"/>
          <w:szCs w:val="24"/>
          <w:lang w:val="en-GB"/>
        </w:rPr>
        <w:t>2. Instance syntax rules</w:t>
      </w:r>
    </w:p>
    <w:p w:rsidR="00883BF2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2.1 — The existence of </w:t>
      </w:r>
      <w:proofErr w:type="spell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xml</w:t>
      </w:r>
      <w:proofErr w:type="gram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:base</w:t>
      </w:r>
      <w:proofErr w:type="spellEnd"/>
      <w:proofErr w:type="gramEnd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is not permitted</w:t>
      </w:r>
    </w:p>
    <w:p w:rsidR="00883BF2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2.2 — The absolute URL has to be stated for the </w:t>
      </w:r>
      <w:proofErr w:type="spell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link</w:t>
      </w:r>
      <w:proofErr w:type="gram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:schemaRef</w:t>
      </w:r>
      <w:proofErr w:type="spellEnd"/>
      <w:proofErr w:type="gramEnd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element</w:t>
      </w:r>
    </w:p>
    <w:p w:rsidR="00883BF2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2.3 — Only one </w:t>
      </w:r>
      <w:proofErr w:type="spell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link</w:t>
      </w:r>
      <w:proofErr w:type="gram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:schemaRef</w:t>
      </w:r>
      <w:proofErr w:type="spellEnd"/>
      <w:proofErr w:type="gramEnd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element is allowed per instance document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2.4 —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The use of </w:t>
      </w:r>
      <w:proofErr w:type="spell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link</w:t>
      </w:r>
      <w:proofErr w:type="gram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:linkbaseRef</w:t>
      </w:r>
      <w:proofErr w:type="spellEnd"/>
      <w:proofErr w:type="gramEnd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elements is not permitted</w:t>
      </w:r>
    </w:p>
    <w:p w:rsidR="003F3E43" w:rsidRPr="00BA56B7" w:rsidRDefault="00651D10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r w:rsidR="006A20C6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2.26 – Information about the generating software</w:t>
      </w:r>
    </w:p>
    <w:p w:rsidR="003F3E43" w:rsidRPr="00BA56B7" w:rsidRDefault="003F3E43" w:rsidP="00651D10">
      <w:pPr>
        <w:keepNext/>
        <w:spacing w:before="240" w:line="260" w:lineRule="atLeast"/>
        <w:jc w:val="both"/>
        <w:rPr>
          <w:rFonts w:asciiTheme="minorHAnsi" w:hAnsiTheme="minorHAnsi" w:cstheme="minorHAnsi"/>
          <w:bCs/>
          <w:color w:val="365F91" w:themeColor="accent1" w:themeShade="BF"/>
          <w:sz w:val="24"/>
          <w:szCs w:val="24"/>
          <w:lang w:val="en-GB"/>
        </w:rPr>
      </w:pPr>
      <w:r w:rsidRPr="00BA56B7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>Context related rules</w:t>
      </w:r>
    </w:p>
    <w:p w:rsidR="003F3E43" w:rsidRPr="00BA56B7" w:rsidRDefault="006A20C6" w:rsidP="00651D10">
      <w:pPr>
        <w:keepNext/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2.6 — </w:t>
      </w:r>
      <w:proofErr w:type="gram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The</w:t>
      </w:r>
      <w:proofErr w:type="gramEnd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length of the @id attribute should be limited to the necessary characters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2.7 — No unused or duplicated </w:t>
      </w:r>
      <w:proofErr w:type="spell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xbrli</w:t>
      </w:r>
      <w:proofErr w:type="gramStart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:context</w:t>
      </w:r>
      <w:proofErr w:type="spellEnd"/>
      <w:proofErr w:type="gramEnd"/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nodes</w:t>
      </w:r>
    </w:p>
    <w:p w:rsidR="0040648F" w:rsidRPr="00BA56B7" w:rsidRDefault="0040648F" w:rsidP="0040648F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2.7.a — No unused or duplicated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xbrli:context</w:t>
      </w:r>
      <w:proofErr w:type="spellEnd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nodes</w:t>
      </w:r>
    </w:p>
    <w:p w:rsidR="0040648F" w:rsidRPr="00BA56B7" w:rsidRDefault="0040648F" w:rsidP="0040648F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2.7.b — No unused or duplicated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xbrli:context</w:t>
      </w:r>
      <w:proofErr w:type="spellEnd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nodes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F3E4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2.8 — Identification of the subject of the report</w:t>
      </w:r>
    </w:p>
    <w:p w:rsidR="0040648F" w:rsidRPr="00BA56B7" w:rsidRDefault="0040648F" w:rsidP="0040648F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2.8.a —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inappropriateScheme</w:t>
      </w:r>
      <w:proofErr w:type="spellEnd"/>
    </w:p>
    <w:p w:rsidR="0040648F" w:rsidRPr="00BA56B7" w:rsidRDefault="0040648F" w:rsidP="0040648F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2.8.b —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unacceptableIdentifier</w:t>
      </w:r>
      <w:proofErr w:type="spellEnd"/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2.9 — Single subject per instance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2.10 — The </w:t>
      </w:r>
      <w:proofErr w:type="spellStart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xbrli</w:t>
      </w:r>
      <w:proofErr w:type="gramStart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:period</w:t>
      </w:r>
      <w:proofErr w:type="spellEnd"/>
      <w:proofErr w:type="gramEnd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date elements reported must be valid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2.11 —The existence of </w:t>
      </w:r>
      <w:proofErr w:type="spellStart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xbrli</w:t>
      </w:r>
      <w:proofErr w:type="gramStart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:forever</w:t>
      </w:r>
      <w:proofErr w:type="spellEnd"/>
      <w:proofErr w:type="gramEnd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is not permitted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2.13 — XBRL period consistency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2.14 — The existence of </w:t>
      </w:r>
      <w:proofErr w:type="spellStart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xbrli</w:t>
      </w:r>
      <w:proofErr w:type="gramStart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:segment</w:t>
      </w:r>
      <w:proofErr w:type="spellEnd"/>
      <w:proofErr w:type="gramEnd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is not permitted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2.15 — Restrictions on the use of the </w:t>
      </w:r>
      <w:proofErr w:type="spellStart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xbrli</w:t>
      </w:r>
      <w:proofErr w:type="gramStart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:scenario</w:t>
      </w:r>
      <w:proofErr w:type="spellEnd"/>
      <w:proofErr w:type="gramEnd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element</w:t>
      </w:r>
    </w:p>
    <w:p w:rsidR="007162F3" w:rsidRPr="00BA56B7" w:rsidRDefault="007162F3" w:rsidP="009522D2">
      <w:pPr>
        <w:autoSpaceDE w:val="0"/>
        <w:autoSpaceDN w:val="0"/>
        <w:adjustRightInd w:val="0"/>
        <w:spacing w:before="240"/>
        <w:rPr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 w:eastAsia="en-US"/>
        </w:rPr>
      </w:pPr>
      <w:r w:rsidRPr="00BA56B7">
        <w:rPr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 w:eastAsia="en-US"/>
        </w:rPr>
        <w:t xml:space="preserve">Fact related rules </w:t>
      </w:r>
    </w:p>
    <w:p w:rsidR="003F3E43" w:rsidRPr="00BA56B7" w:rsidRDefault="006A20C6" w:rsidP="007162F3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GB" w:eastAsia="en-US"/>
        </w:rPr>
        <w:t>2.16 — Duplicate (Redundant/Inconsistent) facts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2.16.1 — No multi-unit fact sets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2.17 — </w:t>
      </w:r>
      <w:proofErr w:type="gramStart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The</w:t>
      </w:r>
      <w:proofErr w:type="gramEnd"/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use of the @precision attribute is not permitted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2.18 — Interpretation of the @decimals attribute</w:t>
      </w:r>
    </w:p>
    <w:p w:rsidR="00A276B7" w:rsidRPr="00BA56B7" w:rsidRDefault="00A276B7" w:rsidP="00A276B7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2.18.a —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missingDecimalsAttribute</w:t>
      </w:r>
      <w:proofErr w:type="spellEnd"/>
    </w:p>
    <w:p w:rsidR="00A276B7" w:rsidRPr="00BA56B7" w:rsidRDefault="00A276B7" w:rsidP="00A276B7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[EBA] 2.18.b — no truncation, rounding or change</w:t>
      </w:r>
    </w:p>
    <w:p w:rsidR="00A276B7" w:rsidRPr="00BA56B7" w:rsidRDefault="00A276B7" w:rsidP="00A276B7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[EBA] 2.18.c — reported accuracy</w:t>
      </w:r>
    </w:p>
    <w:p w:rsidR="00A276B7" w:rsidRPr="00BA56B7" w:rsidRDefault="00A276B7" w:rsidP="00A276B7">
      <w:pPr>
        <w:pStyle w:val="Paragraphedeliste"/>
        <w:numPr>
          <w:ilvl w:val="1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[EBA] 2.18.c — reported accuracy – Integer</w:t>
      </w:r>
    </w:p>
    <w:p w:rsidR="00A276B7" w:rsidRPr="00BA56B7" w:rsidRDefault="00A276B7" w:rsidP="00A276B7">
      <w:pPr>
        <w:pStyle w:val="Paragraphedeliste"/>
        <w:numPr>
          <w:ilvl w:val="1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[EBA] 2.18.c — reported accuracy – Monetary</w:t>
      </w:r>
    </w:p>
    <w:p w:rsidR="00A276B7" w:rsidRPr="00BA56B7" w:rsidRDefault="00A276B7" w:rsidP="00A276B7">
      <w:pPr>
        <w:pStyle w:val="Paragraphedeliste"/>
        <w:numPr>
          <w:ilvl w:val="1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[EBA] 2.18.c — reported accuracy – Percentage</w:t>
      </w:r>
    </w:p>
    <w:p w:rsidR="00A276B7" w:rsidRPr="00BA56B7" w:rsidRDefault="00A276B7" w:rsidP="00A276B7">
      <w:pPr>
        <w:pStyle w:val="Paragraphedeliste"/>
        <w:numPr>
          <w:ilvl w:val="2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56B7">
        <w:rPr>
          <w:rFonts w:asciiTheme="minorHAnsi" w:hAnsiTheme="minorHAnsi" w:cstheme="minorHAnsi"/>
          <w:bCs/>
          <w:sz w:val="20"/>
          <w:szCs w:val="20"/>
        </w:rPr>
        <w:t xml:space="preserve">F.2.18.c </w:t>
      </w:r>
      <w:r w:rsidR="00A27184">
        <w:rPr>
          <w:rFonts w:asciiTheme="minorHAnsi" w:hAnsiTheme="minorHAnsi" w:cstheme="minorHAnsi"/>
          <w:bCs/>
          <w:sz w:val="20"/>
          <w:szCs w:val="20"/>
        </w:rPr>
        <w:t>–</w:t>
      </w:r>
      <w:r w:rsidRPr="00BA56B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C3519">
        <w:rPr>
          <w:rFonts w:asciiTheme="minorHAnsi" w:hAnsiTheme="minorHAnsi" w:cstheme="minorHAnsi"/>
          <w:bCs/>
          <w:sz w:val="20"/>
          <w:szCs w:val="20"/>
        </w:rPr>
        <w:t>Pourcentages reportés dans certains</w:t>
      </w:r>
      <w:r w:rsidRPr="00BA56B7">
        <w:rPr>
          <w:rFonts w:asciiTheme="minorHAnsi" w:hAnsiTheme="minorHAnsi" w:cstheme="minorHAnsi"/>
          <w:bCs/>
          <w:sz w:val="20"/>
          <w:szCs w:val="20"/>
        </w:rPr>
        <w:t xml:space="preserve"> états RUBA….</w:t>
      </w:r>
    </w:p>
    <w:p w:rsidR="0060011F" w:rsidRDefault="0060011F" w:rsidP="0060011F">
      <w:pPr>
        <w:pStyle w:val="Paragraphedeliste"/>
        <w:spacing w:before="120" w:line="260" w:lineRule="atLeast"/>
        <w:ind w:left="21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C3519">
        <w:rPr>
          <w:rFonts w:asciiTheme="minorHAnsi" w:hAnsiTheme="minorHAnsi" w:cstheme="minorHAnsi"/>
          <w:bCs/>
          <w:sz w:val="20"/>
          <w:szCs w:val="20"/>
        </w:rPr>
        <w:t>La valeur de l'attribut @</w:t>
      </w:r>
      <w:proofErr w:type="spellStart"/>
      <w:r w:rsidRPr="007C3519">
        <w:rPr>
          <w:rFonts w:asciiTheme="minorHAnsi" w:hAnsiTheme="minorHAnsi" w:cstheme="minorHAnsi"/>
          <w:bCs/>
          <w:sz w:val="20"/>
          <w:szCs w:val="20"/>
        </w:rPr>
        <w:t>decimals</w:t>
      </w:r>
      <w:proofErr w:type="spellEnd"/>
      <w:r w:rsidRPr="007C3519">
        <w:rPr>
          <w:rFonts w:asciiTheme="minorHAnsi" w:hAnsiTheme="minorHAnsi" w:cstheme="minorHAnsi"/>
          <w:bCs/>
          <w:sz w:val="20"/>
          <w:szCs w:val="20"/>
        </w:rPr>
        <w:t xml:space="preserve"> des faits de t</w:t>
      </w:r>
      <w:r w:rsidR="007C3519" w:rsidRPr="007C3519">
        <w:rPr>
          <w:rFonts w:asciiTheme="minorHAnsi" w:hAnsiTheme="minorHAnsi" w:cstheme="minorHAnsi"/>
          <w:bCs/>
          <w:sz w:val="20"/>
          <w:szCs w:val="20"/>
        </w:rPr>
        <w:t>ype pourcentage reportés dans certains</w:t>
      </w:r>
      <w:r w:rsidRPr="007C3519">
        <w:rPr>
          <w:rFonts w:asciiTheme="minorHAnsi" w:hAnsiTheme="minorHAnsi" w:cstheme="minorHAnsi"/>
          <w:bCs/>
          <w:sz w:val="20"/>
          <w:szCs w:val="20"/>
        </w:rPr>
        <w:t xml:space="preserve"> états RUBA</w:t>
      </w:r>
      <w:r w:rsidR="007C3519" w:rsidRPr="007C3519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="006C01BC">
        <w:rPr>
          <w:rFonts w:asciiTheme="minorHAnsi" w:hAnsiTheme="minorHAnsi" w:cstheme="minorHAnsi"/>
          <w:bCs/>
          <w:sz w:val="20"/>
          <w:szCs w:val="20"/>
        </w:rPr>
        <w:t xml:space="preserve">exemple </w:t>
      </w:r>
      <w:r w:rsidR="007C3650">
        <w:rPr>
          <w:rFonts w:asciiTheme="minorHAnsi" w:hAnsiTheme="minorHAnsi" w:cstheme="minorHAnsi"/>
          <w:bCs/>
          <w:sz w:val="20"/>
          <w:szCs w:val="20"/>
        </w:rPr>
        <w:t xml:space="preserve">RB.28.01 </w:t>
      </w:r>
      <w:r w:rsidR="007C3519" w:rsidRPr="007C3519">
        <w:rPr>
          <w:rFonts w:asciiTheme="minorHAnsi" w:hAnsiTheme="minorHAnsi" w:cstheme="minorHAnsi"/>
          <w:bCs/>
          <w:sz w:val="20"/>
          <w:szCs w:val="20"/>
        </w:rPr>
        <w:t>M</w:t>
      </w:r>
      <w:r w:rsidR="008B14BD">
        <w:rPr>
          <w:rFonts w:asciiTheme="minorHAnsi" w:hAnsiTheme="minorHAnsi" w:cstheme="minorHAnsi"/>
          <w:bCs/>
          <w:sz w:val="20"/>
          <w:szCs w:val="20"/>
        </w:rPr>
        <w:t>_INTNOUA</w:t>
      </w:r>
      <w:r w:rsidR="001F6541">
        <w:rPr>
          <w:rFonts w:asciiTheme="minorHAnsi" w:hAnsiTheme="minorHAnsi" w:cstheme="minorHAnsi"/>
          <w:bCs/>
          <w:sz w:val="20"/>
          <w:szCs w:val="20"/>
        </w:rPr>
        <w:t>)</w:t>
      </w:r>
      <w:r w:rsidR="007C351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A56B7">
        <w:rPr>
          <w:rFonts w:asciiTheme="minorHAnsi" w:hAnsiTheme="minorHAnsi" w:cstheme="minorHAnsi"/>
          <w:bCs/>
          <w:sz w:val="20"/>
          <w:szCs w:val="20"/>
        </w:rPr>
        <w:t>doit être supérieure ou égale à 6</w:t>
      </w:r>
    </w:p>
    <w:p w:rsidR="00361B2A" w:rsidRDefault="00591D4F" w:rsidP="00591D4F">
      <w:pPr>
        <w:pStyle w:val="Paragraphedeliste"/>
        <w:spacing w:before="120" w:line="260" w:lineRule="atLeast"/>
        <w:ind w:left="708"/>
        <w:rPr>
          <w:rFonts w:asciiTheme="minorHAnsi" w:hAnsiTheme="minorHAnsi" w:cstheme="minorHAnsi"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566557" cy="2128407"/>
            <wp:effectExtent l="0" t="0" r="5715" b="5715"/>
            <wp:docPr id="2" name="Image 2" descr="cid:image001.jpg@01D7C0FD.2D1CC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7C0FD.2D1CCC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811" cy="213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B2A" w:rsidRPr="00BA56B7" w:rsidRDefault="00361B2A" w:rsidP="00361B2A">
      <w:pPr>
        <w:pStyle w:val="Paragraphedeliste"/>
        <w:spacing w:before="120" w:line="260" w:lineRule="atLeast"/>
        <w:ind w:left="1416"/>
        <w:rPr>
          <w:rFonts w:asciiTheme="minorHAnsi" w:hAnsiTheme="minorHAnsi" w:cstheme="minorHAnsi"/>
          <w:bCs/>
          <w:sz w:val="20"/>
          <w:szCs w:val="20"/>
        </w:rPr>
      </w:pP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2.19 —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r w:rsidR="007162F3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Guidance on use of zeros and non-reported data</w:t>
      </w:r>
    </w:p>
    <w:p w:rsidR="003F3E4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2.20 — Information on the use of the </w:t>
      </w:r>
      <w:proofErr w:type="spellStart"/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xml</w:t>
      </w:r>
      <w:proofErr w:type="gramStart"/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:lang</w:t>
      </w:r>
      <w:proofErr w:type="spellEnd"/>
      <w:proofErr w:type="gramEnd"/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attribute</w:t>
      </w:r>
    </w:p>
    <w:p w:rsidR="00301D2C" w:rsidRPr="00BA56B7" w:rsidRDefault="00301D2C" w:rsidP="009522D2">
      <w:pPr>
        <w:autoSpaceDE w:val="0"/>
        <w:autoSpaceDN w:val="0"/>
        <w:adjustRightInd w:val="0"/>
        <w:spacing w:before="240"/>
        <w:rPr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 w:eastAsia="en-US"/>
        </w:rPr>
      </w:pPr>
      <w:r w:rsidRPr="00BA56B7">
        <w:rPr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 w:eastAsia="en-US"/>
        </w:rPr>
        <w:t xml:space="preserve">Unit related rules </w:t>
      </w:r>
    </w:p>
    <w:p w:rsidR="007162F3" w:rsidRPr="00BA56B7" w:rsidRDefault="006A20C6" w:rsidP="00301D2C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01D2C" w:rsidRPr="00BA56B7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GB" w:eastAsia="en-US"/>
        </w:rPr>
        <w:t xml:space="preserve">2.21 — Duplicates of </w:t>
      </w:r>
      <w:proofErr w:type="spellStart"/>
      <w:r w:rsidR="00301D2C" w:rsidRPr="00BA56B7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GB" w:eastAsia="en-US"/>
        </w:rPr>
        <w:t>xbrli</w:t>
      </w:r>
      <w:proofErr w:type="gramStart"/>
      <w:r w:rsidR="00301D2C" w:rsidRPr="00BA56B7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GB" w:eastAsia="en-US"/>
        </w:rPr>
        <w:t>:xbrl</w:t>
      </w:r>
      <w:proofErr w:type="spellEnd"/>
      <w:proofErr w:type="gramEnd"/>
      <w:r w:rsidR="00301D2C" w:rsidRPr="00BA56B7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GB" w:eastAsia="en-US"/>
        </w:rPr>
        <w:t>/</w:t>
      </w:r>
      <w:proofErr w:type="spellStart"/>
      <w:r w:rsidR="00301D2C" w:rsidRPr="00BA56B7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GB" w:eastAsia="en-US"/>
        </w:rPr>
        <w:t>xbrli:unit</w:t>
      </w:r>
      <w:proofErr w:type="spellEnd"/>
    </w:p>
    <w:p w:rsidR="007162F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2.22 — Unused </w:t>
      </w:r>
      <w:proofErr w:type="spellStart"/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xbrli</w:t>
      </w:r>
      <w:proofErr w:type="gramStart"/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:xbrl</w:t>
      </w:r>
      <w:proofErr w:type="spellEnd"/>
      <w:proofErr w:type="gramEnd"/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/</w:t>
      </w:r>
      <w:proofErr w:type="spellStart"/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xbrli:unit</w:t>
      </w:r>
      <w:proofErr w:type="spellEnd"/>
    </w:p>
    <w:p w:rsidR="007162F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2.23 — Reference </w:t>
      </w:r>
      <w:proofErr w:type="spellStart"/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xbrli</w:t>
      </w:r>
      <w:proofErr w:type="gramStart"/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:unit</w:t>
      </w:r>
      <w:proofErr w:type="spellEnd"/>
      <w:proofErr w:type="gramEnd"/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to XBRL International Unit Type Registry (UTR)</w:t>
      </w:r>
    </w:p>
    <w:p w:rsidR="007162F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2.24 —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Report of the actual physical value of monetary items (see also 3.3)</w:t>
      </w:r>
    </w:p>
    <w:p w:rsidR="007162F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3.1 – Choice of Currency for Monetary facts</w:t>
      </w:r>
    </w:p>
    <w:p w:rsidR="006A539B" w:rsidRPr="00BA56B7" w:rsidRDefault="006A539B" w:rsidP="006A539B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3.1.a 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>–</w:t>
      </w: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Reporting unit unicity</w:t>
      </w:r>
    </w:p>
    <w:p w:rsidR="006A539B" w:rsidRPr="00BA56B7" w:rsidRDefault="006A539B" w:rsidP="006A539B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F.3.1.a </w:t>
      </w:r>
      <w:r w:rsidR="0020001D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– </w:t>
      </w:r>
      <w:proofErr w:type="spellStart"/>
      <w:r w:rsidR="0020001D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Monnaie</w:t>
      </w:r>
      <w:proofErr w:type="spellEnd"/>
      <w:r w:rsidR="0020001D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de remise</w:t>
      </w:r>
    </w:p>
    <w:p w:rsidR="0020001D" w:rsidRPr="00BA56B7" w:rsidRDefault="0020001D" w:rsidP="0020001D">
      <w:pPr>
        <w:pStyle w:val="Paragraphedeliste"/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proofErr w:type="gramStart"/>
      <w:r w:rsidRPr="00BA56B7">
        <w:rPr>
          <w:rFonts w:asciiTheme="minorHAnsi" w:hAnsiTheme="minorHAnsi" w:cstheme="minorHAnsi"/>
          <w:bCs/>
          <w:sz w:val="20"/>
          <w:szCs w:val="20"/>
        </w:rPr>
        <w:t>inappropriateReportingCurrency</w:t>
      </w:r>
      <w:proofErr w:type="spellEnd"/>
      <w:proofErr w:type="gramEnd"/>
      <w:r w:rsidRPr="00BA56B7">
        <w:rPr>
          <w:rFonts w:asciiTheme="minorHAnsi" w:hAnsiTheme="minorHAnsi" w:cstheme="minorHAnsi"/>
          <w:bCs/>
          <w:sz w:val="20"/>
          <w:szCs w:val="20"/>
        </w:rPr>
        <w:t xml:space="preserve"> : La monnaie de remise (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</w:rPr>
        <w:t>filing</w:t>
      </w:r>
      <w:proofErr w:type="spellEnd"/>
      <w:r w:rsidRPr="00BA56B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</w:rPr>
        <w:t>currency</w:t>
      </w:r>
      <w:proofErr w:type="spellEnd"/>
      <w:r w:rsidRPr="00BA56B7">
        <w:rPr>
          <w:rFonts w:asciiTheme="minorHAnsi" w:hAnsiTheme="minorHAnsi" w:cstheme="minorHAnsi"/>
          <w:bCs/>
          <w:sz w:val="20"/>
          <w:szCs w:val="20"/>
        </w:rPr>
        <w:t>) est la monnaie utilisée par défaut dans une instance.</w:t>
      </w:r>
    </w:p>
    <w:p w:rsidR="0020001D" w:rsidRPr="00BA56B7" w:rsidRDefault="0020001D" w:rsidP="0020001D">
      <w:pPr>
        <w:pStyle w:val="Paragraphedeliste"/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56B7">
        <w:rPr>
          <w:rFonts w:asciiTheme="minorHAnsi" w:hAnsiTheme="minorHAnsi" w:cstheme="minorHAnsi"/>
          <w:bCs/>
          <w:sz w:val="20"/>
          <w:szCs w:val="20"/>
        </w:rPr>
        <w:t>Les instances transmises à l’ACPR / Banque de France doivent généralement utiliser l’euro (code ISO</w:t>
      </w:r>
      <w:proofErr w:type="gramStart"/>
      <w:r w:rsidRPr="00BA56B7">
        <w:rPr>
          <w:rFonts w:asciiTheme="minorHAnsi" w:hAnsiTheme="minorHAnsi" w:cstheme="minorHAnsi"/>
          <w:bCs/>
          <w:sz w:val="20"/>
          <w:szCs w:val="20"/>
        </w:rPr>
        <w:t>4217:EUR</w:t>
      </w:r>
      <w:proofErr w:type="gramEnd"/>
      <w:r w:rsidRPr="00BA56B7">
        <w:rPr>
          <w:rFonts w:asciiTheme="minorHAnsi" w:hAnsiTheme="minorHAnsi" w:cstheme="minorHAnsi"/>
          <w:bCs/>
          <w:sz w:val="20"/>
          <w:szCs w:val="20"/>
        </w:rPr>
        <w:t>) comme monnaie de remise.</w:t>
      </w:r>
    </w:p>
    <w:p w:rsidR="0020001D" w:rsidRPr="00BA56B7" w:rsidRDefault="0020001D" w:rsidP="0020001D">
      <w:pPr>
        <w:pStyle w:val="Paragraphedeliste"/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56B7">
        <w:rPr>
          <w:rFonts w:asciiTheme="minorHAnsi" w:hAnsiTheme="minorHAnsi" w:cstheme="minorHAnsi"/>
          <w:bCs/>
          <w:sz w:val="20"/>
          <w:szCs w:val="20"/>
        </w:rPr>
        <w:t>Cependant, les assujettis effectuant leurs opérations en franc pacifique (code ISO</w:t>
      </w:r>
      <w:proofErr w:type="gramStart"/>
      <w:r w:rsidRPr="00BA56B7">
        <w:rPr>
          <w:rFonts w:asciiTheme="minorHAnsi" w:hAnsiTheme="minorHAnsi" w:cstheme="minorHAnsi"/>
          <w:bCs/>
          <w:sz w:val="20"/>
          <w:szCs w:val="20"/>
        </w:rPr>
        <w:t>4217:XPF</w:t>
      </w:r>
      <w:proofErr w:type="gramEnd"/>
      <w:r w:rsidRPr="00BA56B7">
        <w:rPr>
          <w:rFonts w:asciiTheme="minorHAnsi" w:hAnsiTheme="minorHAnsi" w:cstheme="minorHAnsi"/>
          <w:bCs/>
          <w:sz w:val="20"/>
          <w:szCs w:val="20"/>
        </w:rPr>
        <w:t>) peuvent utiliser cette monnaie dans leurs remises.</w:t>
      </w:r>
    </w:p>
    <w:p w:rsidR="0020001D" w:rsidRPr="00BA56B7" w:rsidRDefault="0020001D" w:rsidP="0020001D">
      <w:pPr>
        <w:pStyle w:val="Paragraphedeliste"/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56B7">
        <w:rPr>
          <w:rFonts w:asciiTheme="minorHAnsi" w:hAnsiTheme="minorHAnsi" w:cstheme="minorHAnsi"/>
          <w:bCs/>
          <w:sz w:val="20"/>
          <w:szCs w:val="20"/>
        </w:rPr>
        <w:t>Une instance DOIT avoir une seule monnaie de remise.</w:t>
      </w:r>
    </w:p>
    <w:p w:rsidR="0020001D" w:rsidRPr="00BA56B7" w:rsidRDefault="0020001D" w:rsidP="004C0996">
      <w:pPr>
        <w:pStyle w:val="Paragraphedeliste"/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56B7">
        <w:rPr>
          <w:rFonts w:asciiTheme="minorHAnsi" w:hAnsiTheme="minorHAnsi" w:cstheme="minorHAnsi"/>
          <w:bCs/>
          <w:sz w:val="20"/>
          <w:szCs w:val="20"/>
        </w:rPr>
        <w:t>Note : cette règle complète la</w:t>
      </w:r>
      <w:r w:rsidR="00C7034A" w:rsidRPr="00BA56B7">
        <w:rPr>
          <w:rFonts w:asciiTheme="minorHAnsi" w:hAnsiTheme="minorHAnsi" w:cstheme="minorHAnsi"/>
          <w:bCs/>
          <w:sz w:val="20"/>
          <w:szCs w:val="20"/>
        </w:rPr>
        <w:t xml:space="preserve"> règle</w:t>
      </w:r>
      <w:r w:rsidRPr="00BA56B7">
        <w:rPr>
          <w:rFonts w:asciiTheme="minorHAnsi" w:hAnsiTheme="minorHAnsi" w:cstheme="minorHAnsi"/>
          <w:bCs/>
          <w:sz w:val="20"/>
          <w:szCs w:val="20"/>
        </w:rPr>
        <w:t xml:space="preserve"> [EBA] 3.1.a en précisant les monnaies de remise utilisables.</w:t>
      </w:r>
    </w:p>
    <w:p w:rsidR="007162F3" w:rsidRPr="00BA56B7" w:rsidRDefault="00860C82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bookmarkStart w:id="0" w:name="_GoBack"/>
      <w:bookmarkEnd w:id="0"/>
      <w:r w:rsidRPr="00860C8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A20C6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3.2 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>–</w:t>
      </w:r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Non-monetary numeric units</w:t>
      </w:r>
    </w:p>
    <w:p w:rsidR="009C7FF3" w:rsidRPr="00BA56B7" w:rsidRDefault="009C7FF3" w:rsidP="009C7FF3">
      <w:pPr>
        <w:pStyle w:val="Paragraphedeliste"/>
        <w:numPr>
          <w:ilvl w:val="0"/>
          <w:numId w:val="19"/>
        </w:num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3.2.a 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>–</w:t>
      </w: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pureUnitNotUsedForMonetaryValue</w:t>
      </w:r>
      <w:proofErr w:type="spellEnd"/>
    </w:p>
    <w:p w:rsidR="007162F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3.3 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>–</w:t>
      </w:r>
      <w:r w:rsidR="00301D2C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Decimal representation</w:t>
      </w:r>
    </w:p>
    <w:p w:rsidR="00301D2C" w:rsidRPr="00BA56B7" w:rsidRDefault="006A20C6" w:rsidP="001B3A3F">
      <w:pPr>
        <w:autoSpaceDE w:val="0"/>
        <w:autoSpaceDN w:val="0"/>
        <w:adjustRightInd w:val="0"/>
        <w:spacing w:before="240"/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en-GB" w:eastAsia="en-US"/>
        </w:rPr>
      </w:pPr>
      <w:r w:rsidRPr="00BA56B7">
        <w:rPr>
          <w:rFonts w:asciiTheme="minorHAnsi" w:hAnsiTheme="minorHAnsi" w:cstheme="minorHAnsi"/>
          <w:b/>
          <w:sz w:val="24"/>
          <w:szCs w:val="24"/>
          <w:lang w:val="en-GB"/>
        </w:rPr>
        <w:t xml:space="preserve">[EBA] </w:t>
      </w:r>
      <w:r w:rsidR="00301D2C" w:rsidRPr="00BA56B7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en-GB" w:eastAsia="en-US"/>
        </w:rPr>
        <w:t xml:space="preserve">3. Additional Guidance </w:t>
      </w:r>
    </w:p>
    <w:p w:rsidR="007162F3" w:rsidRPr="00BA56B7" w:rsidRDefault="006A20C6" w:rsidP="00301D2C">
      <w:pPr>
        <w:spacing w:before="120" w:line="260" w:lineRule="atLeast"/>
        <w:jc w:val="both"/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GB" w:eastAsia="en-US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301D2C" w:rsidRPr="00BA56B7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GB" w:eastAsia="en-US"/>
        </w:rPr>
        <w:t xml:space="preserve">3.4 </w:t>
      </w:r>
      <w:r w:rsidR="00A27184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GB" w:eastAsia="en-US"/>
        </w:rPr>
        <w:t xml:space="preserve">– </w:t>
      </w:r>
      <w:r w:rsidR="00301D2C" w:rsidRPr="00BA56B7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val="en-GB" w:eastAsia="en-US"/>
        </w:rPr>
        <w:t>Unused namespace prefixes</w:t>
      </w:r>
    </w:p>
    <w:p w:rsidR="00F84733" w:rsidRPr="00BA56B7" w:rsidRDefault="00F84733" w:rsidP="00F84733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3.5 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– </w:t>
      </w: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>Re-use of canonical namespace prefixes</w:t>
      </w:r>
    </w:p>
    <w:p w:rsidR="00CE2658" w:rsidRPr="00BA56B7" w:rsidRDefault="00CE2658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56B7">
        <w:rPr>
          <w:rFonts w:asciiTheme="minorHAnsi" w:hAnsiTheme="minorHAnsi" w:cstheme="minorHAnsi"/>
          <w:bCs/>
          <w:sz w:val="20"/>
          <w:szCs w:val="20"/>
        </w:rPr>
        <w:t>[ACPR] 3.5 — Espaces de nommage définis au début</w:t>
      </w:r>
    </w:p>
    <w:p w:rsidR="00CE2658" w:rsidRPr="00BA56B7" w:rsidRDefault="00CE2658" w:rsidP="00CE2658">
      <w:pPr>
        <w:spacing w:before="120" w:line="260" w:lineRule="atLeas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proofErr w:type="gramStart"/>
      <w:r w:rsidRPr="00BA56B7">
        <w:rPr>
          <w:rFonts w:asciiTheme="minorHAnsi" w:hAnsiTheme="minorHAnsi" w:cstheme="minorHAnsi"/>
          <w:bCs/>
          <w:sz w:val="20"/>
          <w:szCs w:val="20"/>
        </w:rPr>
        <w:t>unexpectedNamespaceDeclarations</w:t>
      </w:r>
      <w:proofErr w:type="spellEnd"/>
      <w:proofErr w:type="gramEnd"/>
      <w:r w:rsidRPr="00BA56B7">
        <w:rPr>
          <w:rFonts w:asciiTheme="minorHAnsi" w:hAnsiTheme="minorHAnsi" w:cstheme="minorHAnsi"/>
          <w:bCs/>
          <w:sz w:val="20"/>
          <w:szCs w:val="20"/>
        </w:rPr>
        <w:t xml:space="preserve"> : Chaque espace de nommage DOIT être défini une seule fois dans l’élément </w:t>
      </w:r>
      <w:proofErr w:type="spellStart"/>
      <w:r w:rsidRPr="00BA56B7">
        <w:rPr>
          <w:rFonts w:asciiTheme="minorHAnsi" w:hAnsiTheme="minorHAnsi" w:cstheme="minorHAnsi"/>
          <w:bCs/>
          <w:sz w:val="20"/>
          <w:szCs w:val="20"/>
        </w:rPr>
        <w:t>xbrli:xbrl</w:t>
      </w:r>
      <w:proofErr w:type="spellEnd"/>
      <w:r w:rsidRPr="00BA56B7">
        <w:rPr>
          <w:rFonts w:asciiTheme="minorHAnsi" w:hAnsiTheme="minorHAnsi" w:cstheme="minorHAnsi"/>
          <w:bCs/>
          <w:sz w:val="20"/>
          <w:szCs w:val="20"/>
        </w:rPr>
        <w:t>.</w:t>
      </w:r>
    </w:p>
    <w:p w:rsidR="00CE2658" w:rsidRPr="00BA56B7" w:rsidRDefault="00CE2658" w:rsidP="00CE2658">
      <w:pPr>
        <w:spacing w:before="120" w:line="260" w:lineRule="atLeast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56B7">
        <w:rPr>
          <w:rFonts w:asciiTheme="minorHAnsi" w:hAnsiTheme="minorHAnsi" w:cstheme="minorHAnsi"/>
          <w:bCs/>
          <w:sz w:val="20"/>
          <w:szCs w:val="20"/>
        </w:rPr>
        <w:lastRenderedPageBreak/>
        <w:t>AUCUN espace de nommage NE DOIT être redéfini dans l’instance</w:t>
      </w:r>
      <w:r w:rsidR="00B068F3">
        <w:rPr>
          <w:rFonts w:asciiTheme="minorHAnsi" w:hAnsiTheme="minorHAnsi" w:cstheme="minorHAnsi"/>
          <w:bCs/>
          <w:sz w:val="20"/>
          <w:szCs w:val="20"/>
        </w:rPr>
        <w:t>.</w:t>
      </w:r>
    </w:p>
    <w:p w:rsidR="007162F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932BEF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3.7 — </w:t>
      </w:r>
      <w:proofErr w:type="gramStart"/>
      <w:r w:rsidR="00932BEF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Unused</w:t>
      </w:r>
      <w:proofErr w:type="gramEnd"/>
      <w:r w:rsidR="00932BEF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@id attribute on facts</w:t>
      </w:r>
    </w:p>
    <w:p w:rsidR="007162F3" w:rsidRPr="009F205B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9F205B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932BEF" w:rsidRPr="009F205B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3.9 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– </w:t>
      </w:r>
      <w:r w:rsidR="00932BEF" w:rsidRPr="009F205B">
        <w:rPr>
          <w:rFonts w:asciiTheme="minorHAnsi" w:hAnsiTheme="minorHAnsi" w:cstheme="minorHAnsi"/>
          <w:bCs/>
          <w:sz w:val="20"/>
          <w:szCs w:val="20"/>
          <w:lang w:val="en-GB"/>
        </w:rPr>
        <w:t>Namespace prefix declarations restricted to the document element</w:t>
      </w:r>
    </w:p>
    <w:p w:rsidR="007162F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932BEF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3.10 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– </w:t>
      </w:r>
      <w:r w:rsidR="00932BEF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Avoid multiple prefix declarations for the same namespace</w:t>
      </w:r>
    </w:p>
    <w:p w:rsidR="007162F3" w:rsidRPr="00BA56B7" w:rsidRDefault="006A20C6" w:rsidP="00066722">
      <w:pPr>
        <w:spacing w:before="120" w:line="260" w:lineRule="atLeast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[EBA] </w:t>
      </w:r>
      <w:r w:rsidR="00932BEF" w:rsidRPr="00BA56B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3.11 </w:t>
      </w:r>
      <w:r w:rsidR="00A27184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– </w:t>
      </w:r>
      <w:r w:rsidR="00932BEF" w:rsidRPr="00BA56B7">
        <w:rPr>
          <w:rFonts w:asciiTheme="minorHAnsi" w:hAnsiTheme="minorHAnsi" w:cstheme="minorHAnsi"/>
          <w:bCs/>
          <w:sz w:val="20"/>
          <w:szCs w:val="20"/>
          <w:lang w:val="en-GB"/>
        </w:rPr>
        <w:t>Text should not start or end with spaces</w:t>
      </w:r>
    </w:p>
    <w:p w:rsidR="00575AB4" w:rsidRDefault="00575AB4" w:rsidP="00575AB4">
      <w:pPr>
        <w:spacing w:before="12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BA56B7">
        <w:rPr>
          <w:rFonts w:asciiTheme="minorHAnsi" w:hAnsiTheme="minorHAnsi" w:cstheme="minorHAnsi"/>
          <w:sz w:val="20"/>
          <w:szCs w:val="20"/>
          <w:lang w:val="en-GB"/>
        </w:rPr>
        <w:t>[ACPR] S.2.22 – Maximum length for strings</w:t>
      </w:r>
    </w:p>
    <w:p w:rsidR="00B068F3" w:rsidRPr="00B068F3" w:rsidRDefault="00B068F3" w:rsidP="00B068F3">
      <w:pPr>
        <w:spacing w:before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68F3">
        <w:rPr>
          <w:rFonts w:asciiTheme="minorHAnsi" w:hAnsiTheme="minorHAnsi" w:cstheme="minorHAnsi"/>
          <w:sz w:val="20"/>
          <w:szCs w:val="20"/>
        </w:rPr>
        <w:t xml:space="preserve">La taille des chaînes de caractères </w:t>
      </w:r>
      <w:r w:rsidR="00D9674E">
        <w:rPr>
          <w:rFonts w:asciiTheme="minorHAnsi" w:hAnsiTheme="minorHAnsi" w:cstheme="minorHAnsi"/>
          <w:sz w:val="20"/>
          <w:szCs w:val="20"/>
        </w:rPr>
        <w:t>NE DOIT PAS</w:t>
      </w:r>
      <w:r>
        <w:rPr>
          <w:rFonts w:asciiTheme="minorHAnsi" w:hAnsiTheme="minorHAnsi" w:cstheme="minorHAnsi"/>
          <w:sz w:val="20"/>
          <w:szCs w:val="20"/>
        </w:rPr>
        <w:t xml:space="preserve"> excéder</w:t>
      </w:r>
      <w:r w:rsidRPr="00B068F3">
        <w:rPr>
          <w:rFonts w:asciiTheme="minorHAnsi" w:hAnsiTheme="minorHAnsi" w:cstheme="minorHAnsi"/>
          <w:sz w:val="20"/>
          <w:szCs w:val="20"/>
        </w:rPr>
        <w:t xml:space="preserve"> 4000 caractères, sauf pour les </w:t>
      </w:r>
      <w:proofErr w:type="spellStart"/>
      <w:r w:rsidRPr="00B068F3">
        <w:rPr>
          <w:rFonts w:asciiTheme="minorHAnsi" w:hAnsiTheme="minorHAnsi" w:cstheme="minorHAnsi"/>
          <w:sz w:val="20"/>
          <w:szCs w:val="20"/>
        </w:rPr>
        <w:t>footnotes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auxquelles s’applique la règle </w:t>
      </w:r>
      <w:r w:rsidRPr="00BA56B7">
        <w:rPr>
          <w:rFonts w:asciiTheme="minorHAnsi" w:hAnsiTheme="minorHAnsi" w:cstheme="minorHAnsi"/>
          <w:sz w:val="20"/>
          <w:szCs w:val="20"/>
        </w:rPr>
        <w:t>[ACPR] 3.101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75AB4" w:rsidRPr="00BA56B7" w:rsidRDefault="00575AB4" w:rsidP="00D9674E">
      <w:pPr>
        <w:keepNext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BA56B7">
        <w:rPr>
          <w:rFonts w:asciiTheme="minorHAnsi" w:hAnsiTheme="minorHAnsi" w:cstheme="minorHAnsi"/>
          <w:sz w:val="20"/>
          <w:szCs w:val="20"/>
        </w:rPr>
        <w:t xml:space="preserve">[ACPR] 3.101 </w:t>
      </w:r>
      <w:r w:rsidR="00A27184">
        <w:rPr>
          <w:rFonts w:asciiTheme="minorHAnsi" w:hAnsiTheme="minorHAnsi" w:cstheme="minorHAnsi"/>
          <w:sz w:val="20"/>
          <w:szCs w:val="20"/>
        </w:rPr>
        <w:t xml:space="preserve">– </w:t>
      </w:r>
      <w:r w:rsidR="00BA56B7" w:rsidRPr="00BA56B7">
        <w:rPr>
          <w:rFonts w:asciiTheme="minorHAnsi" w:hAnsiTheme="minorHAnsi" w:cstheme="minorHAnsi"/>
          <w:sz w:val="20"/>
          <w:szCs w:val="20"/>
        </w:rPr>
        <w:t xml:space="preserve">Taille limite des éléments </w:t>
      </w:r>
      <w:proofErr w:type="spellStart"/>
      <w:r w:rsidR="00BA56B7" w:rsidRPr="00BA56B7">
        <w:rPr>
          <w:rFonts w:asciiTheme="minorHAnsi" w:hAnsiTheme="minorHAnsi" w:cstheme="minorHAnsi"/>
          <w:sz w:val="20"/>
          <w:szCs w:val="20"/>
        </w:rPr>
        <w:t>footnotes</w:t>
      </w:r>
      <w:proofErr w:type="spellEnd"/>
    </w:p>
    <w:p w:rsidR="00BA56B7" w:rsidRPr="00BA56B7" w:rsidRDefault="00BA56B7" w:rsidP="00D9674E">
      <w:pPr>
        <w:pStyle w:val="Default"/>
        <w:keepNext/>
        <w:spacing w:before="120"/>
        <w:ind w:left="709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BA56B7">
        <w:rPr>
          <w:rFonts w:asciiTheme="minorHAnsi" w:hAnsiTheme="minorHAnsi" w:cstheme="minorHAnsi"/>
          <w:sz w:val="20"/>
          <w:szCs w:val="20"/>
        </w:rPr>
        <w:t>excessiveFootNoteLength</w:t>
      </w:r>
      <w:proofErr w:type="spellEnd"/>
      <w:proofErr w:type="gramEnd"/>
      <w:r w:rsidRPr="00BA56B7">
        <w:rPr>
          <w:rFonts w:asciiTheme="minorHAnsi" w:hAnsiTheme="minorHAnsi" w:cstheme="minorHAnsi"/>
          <w:sz w:val="20"/>
          <w:szCs w:val="20"/>
        </w:rPr>
        <w:t xml:space="preserve"> : Les notes de bas de page (</w:t>
      </w:r>
      <w:proofErr w:type="spellStart"/>
      <w:r w:rsidRPr="00BA56B7">
        <w:rPr>
          <w:rFonts w:asciiTheme="minorHAnsi" w:hAnsiTheme="minorHAnsi" w:cstheme="minorHAnsi"/>
          <w:i/>
          <w:iCs/>
          <w:sz w:val="20"/>
          <w:szCs w:val="20"/>
        </w:rPr>
        <w:t>footnotes</w:t>
      </w:r>
      <w:proofErr w:type="spellEnd"/>
      <w:r w:rsidRPr="00BA56B7">
        <w:rPr>
          <w:rFonts w:asciiTheme="minorHAnsi" w:hAnsiTheme="minorHAnsi" w:cstheme="minorHAnsi"/>
          <w:sz w:val="20"/>
          <w:szCs w:val="20"/>
        </w:rPr>
        <w:t xml:space="preserve">) XBRL sont utilisées pour associer des explications à certains faits. </w:t>
      </w:r>
    </w:p>
    <w:p w:rsidR="003F3E43" w:rsidRPr="007C3519" w:rsidRDefault="00BA56B7" w:rsidP="007C3519">
      <w:pPr>
        <w:spacing w:before="120" w:line="260" w:lineRule="atLeast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56B7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 xml:space="preserve">La taille des éléments </w:t>
      </w:r>
      <w:proofErr w:type="spellStart"/>
      <w:r w:rsidRPr="00BA56B7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  <w:lang w:eastAsia="en-US"/>
        </w:rPr>
        <w:t>footnotes</w:t>
      </w:r>
      <w:proofErr w:type="spellEnd"/>
      <w:r w:rsidRPr="00BA56B7">
        <w:rPr>
          <w:rFonts w:asciiTheme="minorHAnsi" w:eastAsiaTheme="minorHAnsi" w:hAnsiTheme="minorHAnsi" w:cstheme="minorHAnsi"/>
          <w:bCs/>
          <w:i/>
          <w:iCs/>
          <w:color w:val="000000"/>
          <w:sz w:val="20"/>
          <w:szCs w:val="20"/>
          <w:lang w:eastAsia="en-US"/>
        </w:rPr>
        <w:t xml:space="preserve"> </w:t>
      </w:r>
      <w:r w:rsidRPr="00BA56B7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ne DOIT pas dépasser 32 000 caractères (limite pour l’affichage des notes dans la version de Microsoft Excel® uti</w:t>
      </w:r>
      <w:r w:rsidR="007C3519">
        <w:rPr>
          <w:rFonts w:asciiTheme="minorHAnsi" w:eastAsiaTheme="minorHAnsi" w:hAnsiTheme="minorHAnsi" w:cstheme="minorHAnsi"/>
          <w:bCs/>
          <w:color w:val="000000"/>
          <w:sz w:val="20"/>
          <w:szCs w:val="20"/>
          <w:lang w:eastAsia="en-US"/>
        </w:rPr>
        <w:t>lisée)</w:t>
      </w:r>
    </w:p>
    <w:sectPr w:rsidR="003F3E43" w:rsidRPr="007C3519" w:rsidSect="0092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7CD"/>
    <w:multiLevelType w:val="hybridMultilevel"/>
    <w:tmpl w:val="0888B5F8"/>
    <w:lvl w:ilvl="0" w:tplc="442243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4445"/>
    <w:multiLevelType w:val="hybridMultilevel"/>
    <w:tmpl w:val="C9929858"/>
    <w:lvl w:ilvl="0" w:tplc="3E88353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61B8E"/>
    <w:multiLevelType w:val="hybridMultilevel"/>
    <w:tmpl w:val="B1F6A1EE"/>
    <w:lvl w:ilvl="0" w:tplc="159C43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5DD7"/>
    <w:multiLevelType w:val="hybridMultilevel"/>
    <w:tmpl w:val="96DE6C78"/>
    <w:lvl w:ilvl="0" w:tplc="455E8B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1030"/>
    <w:multiLevelType w:val="hybridMultilevel"/>
    <w:tmpl w:val="B0DA0E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577A"/>
    <w:multiLevelType w:val="hybridMultilevel"/>
    <w:tmpl w:val="118A5C54"/>
    <w:lvl w:ilvl="0" w:tplc="335A9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B269B"/>
    <w:multiLevelType w:val="hybridMultilevel"/>
    <w:tmpl w:val="937EE956"/>
    <w:lvl w:ilvl="0" w:tplc="FA346A18">
      <w:start w:val="1"/>
      <w:numFmt w:val="bullet"/>
      <w:lvlText w:val=""/>
      <w:lvlJc w:val="left"/>
      <w:pPr>
        <w:ind w:left="708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3D3B4187"/>
    <w:multiLevelType w:val="hybridMultilevel"/>
    <w:tmpl w:val="1BA04784"/>
    <w:lvl w:ilvl="0" w:tplc="FA346A1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3E1753"/>
    <w:multiLevelType w:val="hybridMultilevel"/>
    <w:tmpl w:val="2500DD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A56DB7"/>
    <w:multiLevelType w:val="hybridMultilevel"/>
    <w:tmpl w:val="9A1A5E3E"/>
    <w:lvl w:ilvl="0" w:tplc="594E9F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4275D"/>
    <w:multiLevelType w:val="hybridMultilevel"/>
    <w:tmpl w:val="5296AAB2"/>
    <w:lvl w:ilvl="0" w:tplc="D1B25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AE8"/>
    <w:multiLevelType w:val="hybridMultilevel"/>
    <w:tmpl w:val="9C76E70A"/>
    <w:lvl w:ilvl="0" w:tplc="FA346A1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91F99"/>
    <w:multiLevelType w:val="hybridMultilevel"/>
    <w:tmpl w:val="B0507A34"/>
    <w:lvl w:ilvl="0" w:tplc="7D3003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65450"/>
    <w:multiLevelType w:val="hybridMultilevel"/>
    <w:tmpl w:val="2500DD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A57AC"/>
    <w:multiLevelType w:val="hybridMultilevel"/>
    <w:tmpl w:val="66E0F6B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5151AC"/>
    <w:multiLevelType w:val="hybridMultilevel"/>
    <w:tmpl w:val="A4A86E86"/>
    <w:lvl w:ilvl="0" w:tplc="767E30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AE8"/>
    <w:multiLevelType w:val="hybridMultilevel"/>
    <w:tmpl w:val="CDD4B47E"/>
    <w:lvl w:ilvl="0" w:tplc="94BA46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B7C34"/>
    <w:multiLevelType w:val="hybridMultilevel"/>
    <w:tmpl w:val="B0DA0E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03AAB"/>
    <w:multiLevelType w:val="hybridMultilevel"/>
    <w:tmpl w:val="C14615C4"/>
    <w:lvl w:ilvl="0" w:tplc="FA346A18">
      <w:start w:val="1"/>
      <w:numFmt w:val="bullet"/>
      <w:lvlText w:val="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8"/>
  </w:num>
  <w:num w:numId="6">
    <w:abstractNumId w:val="17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8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0"/>
  </w:num>
  <w:num w:numId="17">
    <w:abstractNumId w:val="10"/>
  </w:num>
  <w:num w:numId="18">
    <w:abstractNumId w:val="16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67"/>
    <w:rsid w:val="0001278F"/>
    <w:rsid w:val="0002447C"/>
    <w:rsid w:val="000258A0"/>
    <w:rsid w:val="00034441"/>
    <w:rsid w:val="0004451F"/>
    <w:rsid w:val="00065381"/>
    <w:rsid w:val="00066722"/>
    <w:rsid w:val="00072990"/>
    <w:rsid w:val="00072D2B"/>
    <w:rsid w:val="00076CC6"/>
    <w:rsid w:val="00081A9B"/>
    <w:rsid w:val="000901FF"/>
    <w:rsid w:val="000A20F0"/>
    <w:rsid w:val="000B2EDC"/>
    <w:rsid w:val="000D085E"/>
    <w:rsid w:val="000E2CC1"/>
    <w:rsid w:val="000E5DF6"/>
    <w:rsid w:val="000E6809"/>
    <w:rsid w:val="001018C3"/>
    <w:rsid w:val="00104420"/>
    <w:rsid w:val="00113E4F"/>
    <w:rsid w:val="001251CE"/>
    <w:rsid w:val="00137368"/>
    <w:rsid w:val="00141B5B"/>
    <w:rsid w:val="00162B58"/>
    <w:rsid w:val="001B3A3F"/>
    <w:rsid w:val="001B6BA9"/>
    <w:rsid w:val="001E36D7"/>
    <w:rsid w:val="001F1942"/>
    <w:rsid w:val="001F2F40"/>
    <w:rsid w:val="001F6541"/>
    <w:rsid w:val="0020001D"/>
    <w:rsid w:val="00206A62"/>
    <w:rsid w:val="0021442B"/>
    <w:rsid w:val="00222F7D"/>
    <w:rsid w:val="00225E67"/>
    <w:rsid w:val="00234C6A"/>
    <w:rsid w:val="00252730"/>
    <w:rsid w:val="0025685C"/>
    <w:rsid w:val="0027111C"/>
    <w:rsid w:val="00271B0A"/>
    <w:rsid w:val="00282181"/>
    <w:rsid w:val="00285B5C"/>
    <w:rsid w:val="00290742"/>
    <w:rsid w:val="002A0A73"/>
    <w:rsid w:val="002A4A2F"/>
    <w:rsid w:val="002B01A0"/>
    <w:rsid w:val="002C554B"/>
    <w:rsid w:val="002E6C31"/>
    <w:rsid w:val="002F0682"/>
    <w:rsid w:val="00301D2C"/>
    <w:rsid w:val="00302751"/>
    <w:rsid w:val="0031590E"/>
    <w:rsid w:val="00322710"/>
    <w:rsid w:val="0033216C"/>
    <w:rsid w:val="00333C1F"/>
    <w:rsid w:val="00336F21"/>
    <w:rsid w:val="00345DCF"/>
    <w:rsid w:val="00353042"/>
    <w:rsid w:val="00361B2A"/>
    <w:rsid w:val="00363CA6"/>
    <w:rsid w:val="00365ACE"/>
    <w:rsid w:val="003779C5"/>
    <w:rsid w:val="00387EB1"/>
    <w:rsid w:val="00396208"/>
    <w:rsid w:val="003D03AF"/>
    <w:rsid w:val="003E6CA9"/>
    <w:rsid w:val="003F3E43"/>
    <w:rsid w:val="0040135B"/>
    <w:rsid w:val="0040648F"/>
    <w:rsid w:val="004100F0"/>
    <w:rsid w:val="004458C2"/>
    <w:rsid w:val="004504FB"/>
    <w:rsid w:val="004511FE"/>
    <w:rsid w:val="00454CB3"/>
    <w:rsid w:val="00464440"/>
    <w:rsid w:val="004674F7"/>
    <w:rsid w:val="004760B6"/>
    <w:rsid w:val="004810C8"/>
    <w:rsid w:val="0048715C"/>
    <w:rsid w:val="004A26ED"/>
    <w:rsid w:val="004B702A"/>
    <w:rsid w:val="004C0996"/>
    <w:rsid w:val="004D244B"/>
    <w:rsid w:val="004D40DB"/>
    <w:rsid w:val="004E0D3D"/>
    <w:rsid w:val="004E1169"/>
    <w:rsid w:val="004F32A2"/>
    <w:rsid w:val="004F4E14"/>
    <w:rsid w:val="00501678"/>
    <w:rsid w:val="00520A88"/>
    <w:rsid w:val="005277B7"/>
    <w:rsid w:val="00564F20"/>
    <w:rsid w:val="00567063"/>
    <w:rsid w:val="00575AB4"/>
    <w:rsid w:val="00591D4F"/>
    <w:rsid w:val="005C64BF"/>
    <w:rsid w:val="005C7F4B"/>
    <w:rsid w:val="0060011F"/>
    <w:rsid w:val="00613779"/>
    <w:rsid w:val="00616724"/>
    <w:rsid w:val="00616FFF"/>
    <w:rsid w:val="006356E9"/>
    <w:rsid w:val="00651D10"/>
    <w:rsid w:val="006549C7"/>
    <w:rsid w:val="006603FF"/>
    <w:rsid w:val="00662D7B"/>
    <w:rsid w:val="0066487F"/>
    <w:rsid w:val="00666A13"/>
    <w:rsid w:val="0069483D"/>
    <w:rsid w:val="006978B9"/>
    <w:rsid w:val="006A20C6"/>
    <w:rsid w:val="006A50A5"/>
    <w:rsid w:val="006A539B"/>
    <w:rsid w:val="006C01BC"/>
    <w:rsid w:val="006C43A2"/>
    <w:rsid w:val="006E4789"/>
    <w:rsid w:val="006F47DC"/>
    <w:rsid w:val="006F7445"/>
    <w:rsid w:val="007067F7"/>
    <w:rsid w:val="00711266"/>
    <w:rsid w:val="00715A72"/>
    <w:rsid w:val="00715EF5"/>
    <w:rsid w:val="007162F3"/>
    <w:rsid w:val="00730AAC"/>
    <w:rsid w:val="00737433"/>
    <w:rsid w:val="00751C6A"/>
    <w:rsid w:val="00757782"/>
    <w:rsid w:val="00763125"/>
    <w:rsid w:val="007755A8"/>
    <w:rsid w:val="0078203C"/>
    <w:rsid w:val="007929FB"/>
    <w:rsid w:val="00793656"/>
    <w:rsid w:val="007A44B3"/>
    <w:rsid w:val="007C3519"/>
    <w:rsid w:val="007C3650"/>
    <w:rsid w:val="007D1969"/>
    <w:rsid w:val="007E1836"/>
    <w:rsid w:val="00821E24"/>
    <w:rsid w:val="00836F04"/>
    <w:rsid w:val="008525DF"/>
    <w:rsid w:val="00860348"/>
    <w:rsid w:val="00860C82"/>
    <w:rsid w:val="00883BF2"/>
    <w:rsid w:val="008A7127"/>
    <w:rsid w:val="008B14BD"/>
    <w:rsid w:val="008B7904"/>
    <w:rsid w:val="008D09D1"/>
    <w:rsid w:val="008D3967"/>
    <w:rsid w:val="008E3518"/>
    <w:rsid w:val="008E3773"/>
    <w:rsid w:val="008E6983"/>
    <w:rsid w:val="008F0161"/>
    <w:rsid w:val="008F0811"/>
    <w:rsid w:val="008F1618"/>
    <w:rsid w:val="00905EF7"/>
    <w:rsid w:val="00914263"/>
    <w:rsid w:val="009149C5"/>
    <w:rsid w:val="009219BF"/>
    <w:rsid w:val="009263D1"/>
    <w:rsid w:val="00932BEF"/>
    <w:rsid w:val="009423ED"/>
    <w:rsid w:val="009424E2"/>
    <w:rsid w:val="0095191D"/>
    <w:rsid w:val="009522D2"/>
    <w:rsid w:val="00952C54"/>
    <w:rsid w:val="0097219D"/>
    <w:rsid w:val="00973FD4"/>
    <w:rsid w:val="009814B3"/>
    <w:rsid w:val="0099419B"/>
    <w:rsid w:val="009A0230"/>
    <w:rsid w:val="009C7FF3"/>
    <w:rsid w:val="009D0F48"/>
    <w:rsid w:val="009E4E28"/>
    <w:rsid w:val="009F11BF"/>
    <w:rsid w:val="009F205B"/>
    <w:rsid w:val="00A27184"/>
    <w:rsid w:val="00A276B7"/>
    <w:rsid w:val="00A41F54"/>
    <w:rsid w:val="00A42635"/>
    <w:rsid w:val="00A45A23"/>
    <w:rsid w:val="00A62320"/>
    <w:rsid w:val="00A92150"/>
    <w:rsid w:val="00A97520"/>
    <w:rsid w:val="00AA7D8F"/>
    <w:rsid w:val="00AC6DD7"/>
    <w:rsid w:val="00AD5BE5"/>
    <w:rsid w:val="00AE5EC0"/>
    <w:rsid w:val="00AF7313"/>
    <w:rsid w:val="00B068F3"/>
    <w:rsid w:val="00B14BEB"/>
    <w:rsid w:val="00B33F3F"/>
    <w:rsid w:val="00B419F3"/>
    <w:rsid w:val="00B65C85"/>
    <w:rsid w:val="00B71910"/>
    <w:rsid w:val="00B74ABB"/>
    <w:rsid w:val="00B86D54"/>
    <w:rsid w:val="00B9146E"/>
    <w:rsid w:val="00B925D3"/>
    <w:rsid w:val="00BA0898"/>
    <w:rsid w:val="00BA1541"/>
    <w:rsid w:val="00BA56B7"/>
    <w:rsid w:val="00BA70AE"/>
    <w:rsid w:val="00BB4D87"/>
    <w:rsid w:val="00BC1F80"/>
    <w:rsid w:val="00BC4586"/>
    <w:rsid w:val="00BD2A3D"/>
    <w:rsid w:val="00BD7188"/>
    <w:rsid w:val="00BE71A8"/>
    <w:rsid w:val="00BE727E"/>
    <w:rsid w:val="00C20BBE"/>
    <w:rsid w:val="00C404CC"/>
    <w:rsid w:val="00C40DDB"/>
    <w:rsid w:val="00C61D71"/>
    <w:rsid w:val="00C62589"/>
    <w:rsid w:val="00C65BF9"/>
    <w:rsid w:val="00C7034A"/>
    <w:rsid w:val="00C75C63"/>
    <w:rsid w:val="00C927CD"/>
    <w:rsid w:val="00C93467"/>
    <w:rsid w:val="00CA0897"/>
    <w:rsid w:val="00CB745D"/>
    <w:rsid w:val="00CE2658"/>
    <w:rsid w:val="00CF2273"/>
    <w:rsid w:val="00CF6DAA"/>
    <w:rsid w:val="00D12E8B"/>
    <w:rsid w:val="00D16AAD"/>
    <w:rsid w:val="00D20458"/>
    <w:rsid w:val="00D2281D"/>
    <w:rsid w:val="00D3356C"/>
    <w:rsid w:val="00D338BB"/>
    <w:rsid w:val="00D42B09"/>
    <w:rsid w:val="00D6720F"/>
    <w:rsid w:val="00D67755"/>
    <w:rsid w:val="00D70153"/>
    <w:rsid w:val="00D82E42"/>
    <w:rsid w:val="00D865D2"/>
    <w:rsid w:val="00D902C4"/>
    <w:rsid w:val="00D9674E"/>
    <w:rsid w:val="00DA03ED"/>
    <w:rsid w:val="00DA125D"/>
    <w:rsid w:val="00DA49C4"/>
    <w:rsid w:val="00DD7D81"/>
    <w:rsid w:val="00DF3D67"/>
    <w:rsid w:val="00DF53A4"/>
    <w:rsid w:val="00E11E71"/>
    <w:rsid w:val="00E14C91"/>
    <w:rsid w:val="00E273F7"/>
    <w:rsid w:val="00E32108"/>
    <w:rsid w:val="00E44DE9"/>
    <w:rsid w:val="00E5195B"/>
    <w:rsid w:val="00E72EB0"/>
    <w:rsid w:val="00E845A6"/>
    <w:rsid w:val="00E94A27"/>
    <w:rsid w:val="00EB1489"/>
    <w:rsid w:val="00EB4788"/>
    <w:rsid w:val="00EB7600"/>
    <w:rsid w:val="00EC38CE"/>
    <w:rsid w:val="00EE6CF4"/>
    <w:rsid w:val="00EF423E"/>
    <w:rsid w:val="00F0547B"/>
    <w:rsid w:val="00F05977"/>
    <w:rsid w:val="00F21A4C"/>
    <w:rsid w:val="00F22344"/>
    <w:rsid w:val="00F3061D"/>
    <w:rsid w:val="00F34C3D"/>
    <w:rsid w:val="00F8441E"/>
    <w:rsid w:val="00F84733"/>
    <w:rsid w:val="00F97C20"/>
    <w:rsid w:val="00FA2EA3"/>
    <w:rsid w:val="00FA38EE"/>
    <w:rsid w:val="00FA777A"/>
    <w:rsid w:val="00FB6E88"/>
    <w:rsid w:val="00FD7D73"/>
    <w:rsid w:val="00FE03A8"/>
    <w:rsid w:val="00FE2E58"/>
    <w:rsid w:val="00FE3B46"/>
    <w:rsid w:val="00FE3DE1"/>
    <w:rsid w:val="00FE3F8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7BE2"/>
  <w15:docId w15:val="{8E3E5165-A203-4A15-9FBF-A139459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F80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B5B"/>
    <w:pPr>
      <w:ind w:left="720"/>
    </w:pPr>
    <w:rPr>
      <w:rFonts w:ascii="Calibri" w:hAnsi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8B79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79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79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79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790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9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904"/>
    <w:rPr>
      <w:rFonts w:ascii="Tahoma" w:eastAsia="Times New Roman" w:hAnsi="Tahoma" w:cs="Tahoma"/>
      <w:sz w:val="16"/>
      <w:szCs w:val="16"/>
      <w:lang w:eastAsia="fr-FR"/>
    </w:rPr>
  </w:style>
  <w:style w:type="paragraph" w:styleId="Rvision">
    <w:name w:val="Revision"/>
    <w:hidden/>
    <w:uiPriority w:val="99"/>
    <w:semiHidden/>
    <w:rsid w:val="00BA0898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191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Grilledutableau">
    <w:name w:val="Table Grid"/>
    <w:basedOn w:val="TableauNormal"/>
    <w:uiPriority w:val="59"/>
    <w:rsid w:val="001F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65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http://intranet/national/actu_national/Pages/130830_acpr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7C0FD.2D1CCCC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804659\Priv&#233;\Tmodele\Note_ACPR-BD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DD22-B1D4-47CB-BC6D-0D8DA2EA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Note_ACPR-BDF.dotx</Template>
  <TotalTime>3</TotalTime>
  <Pages>5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TERZIMAN Magali (UA 2504)</cp:lastModifiedBy>
  <cp:revision>3</cp:revision>
  <cp:lastPrinted>2019-02-01T08:17:00Z</cp:lastPrinted>
  <dcterms:created xsi:type="dcterms:W3CDTF">2021-10-25T15:50:00Z</dcterms:created>
  <dcterms:modified xsi:type="dcterms:W3CDTF">2021-10-25T15:54:00Z</dcterms:modified>
</cp:coreProperties>
</file>