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86" w:rsidRDefault="00272186" w:rsidP="00272186">
      <w:pPr>
        <w:pStyle w:val="adresse-date"/>
        <w:tabs>
          <w:tab w:val="left" w:pos="5670"/>
          <w:tab w:val="left" w:pos="6804"/>
        </w:tabs>
        <w:spacing w:line="240" w:lineRule="auto"/>
      </w:pPr>
      <w:r>
        <w:rPr>
          <w:rFonts w:ascii="Arial" w:hAnsi="Arial" w:cs="Arial"/>
          <w:noProof/>
          <w:color w:val="1F497D"/>
          <w:sz w:val="22"/>
          <w:szCs w:val="22"/>
        </w:rPr>
        <w:drawing>
          <wp:inline distT="0" distB="0" distL="0" distR="0">
            <wp:extent cx="1188720" cy="1173480"/>
            <wp:effectExtent l="0" t="0" r="0" b="7620"/>
            <wp:docPr id="8" name="Image 8" descr="cid:image002.png@01D65B54.2351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5B54.23514F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8720" cy="1173480"/>
                    </a:xfrm>
                    <a:prstGeom prst="rect">
                      <a:avLst/>
                    </a:prstGeom>
                    <a:noFill/>
                    <a:ln>
                      <a:noFill/>
                    </a:ln>
                  </pic:spPr>
                </pic:pic>
              </a:graphicData>
            </a:graphic>
          </wp:inline>
        </w:drawing>
      </w:r>
      <w:r>
        <w:tab/>
      </w:r>
    </w:p>
    <w:p w:rsidR="00272186" w:rsidRDefault="00272186" w:rsidP="00272186">
      <w:pPr>
        <w:pStyle w:val="adresse-date"/>
        <w:tabs>
          <w:tab w:val="left" w:pos="6237"/>
        </w:tabs>
        <w:spacing w:line="240" w:lineRule="auto"/>
        <w:rPr>
          <w:b/>
          <w:i/>
        </w:rPr>
      </w:pPr>
    </w:p>
    <w:tbl>
      <w:tblPr>
        <w:tblpPr w:leftFromText="141" w:rightFromText="141" w:vertAnchor="text" w:horzAnchor="margin" w:tblpY="-60"/>
        <w:tblW w:w="0" w:type="dxa"/>
        <w:tblLayout w:type="fixed"/>
        <w:tblCellMar>
          <w:left w:w="56" w:type="dxa"/>
          <w:right w:w="56" w:type="dxa"/>
        </w:tblCellMar>
        <w:tblLook w:val="04A0" w:firstRow="1" w:lastRow="0" w:firstColumn="1" w:lastColumn="0" w:noHBand="0" w:noVBand="1"/>
      </w:tblPr>
      <w:tblGrid>
        <w:gridCol w:w="4167"/>
        <w:gridCol w:w="5670"/>
      </w:tblGrid>
      <w:tr w:rsidR="00272186" w:rsidTr="00272186">
        <w:trPr>
          <w:cantSplit/>
          <w:trHeight w:hRule="exact" w:val="710"/>
        </w:trPr>
        <w:tc>
          <w:tcPr>
            <w:tcW w:w="4167" w:type="dxa"/>
            <w:hideMark/>
          </w:tcPr>
          <w:p w:rsidR="00272186" w:rsidRDefault="00272186">
            <w:pPr>
              <w:pStyle w:val="en-ttedirection"/>
              <w:spacing w:before="0"/>
              <w:jc w:val="center"/>
              <w:rPr>
                <w:b/>
              </w:rPr>
            </w:pPr>
            <w:r>
              <w:rPr>
                <w:b/>
              </w:rPr>
              <w:t>direction deS RESSOURCES HUMAINES ET DES MOYENS</w:t>
            </w:r>
          </w:p>
        </w:tc>
        <w:tc>
          <w:tcPr>
            <w:tcW w:w="5670" w:type="dxa"/>
          </w:tcPr>
          <w:p w:rsidR="00272186" w:rsidRDefault="00272186">
            <w:pPr>
              <w:pStyle w:val="en-ttedirection"/>
              <w:spacing w:before="0"/>
              <w:jc w:val="center"/>
              <w:rPr>
                <w:b/>
                <w:caps w:val="0"/>
              </w:rPr>
            </w:pPr>
          </w:p>
        </w:tc>
      </w:tr>
      <w:tr w:rsidR="00272186" w:rsidTr="00272186">
        <w:trPr>
          <w:cantSplit/>
          <w:trHeight w:hRule="exact" w:val="987"/>
        </w:trPr>
        <w:tc>
          <w:tcPr>
            <w:tcW w:w="4167" w:type="dxa"/>
          </w:tcPr>
          <w:p w:rsidR="00272186" w:rsidRDefault="00272186">
            <w:pPr>
              <w:pStyle w:val="en-ttedirection"/>
              <w:spacing w:before="0"/>
              <w:jc w:val="center"/>
            </w:pPr>
            <w:r>
              <w:t>service d’ASSISTANCE, DE GESTION DES APPLICATIONS ET DE MAITRISE D'ouvrage</w:t>
            </w:r>
          </w:p>
          <w:p w:rsidR="00272186" w:rsidRDefault="00272186">
            <w:pPr>
              <w:pStyle w:val="en-ttedg"/>
              <w:jc w:val="center"/>
              <w:rPr>
                <w:caps w:val="0"/>
              </w:rPr>
            </w:pPr>
          </w:p>
          <w:p w:rsidR="00272186" w:rsidRDefault="00272186">
            <w:pPr>
              <w:pStyle w:val="en-ttedg"/>
              <w:jc w:val="center"/>
              <w:rPr>
                <w:caps w:val="0"/>
              </w:rPr>
            </w:pPr>
          </w:p>
          <w:p w:rsidR="00272186" w:rsidRDefault="00272186">
            <w:pPr>
              <w:pStyle w:val="en-ttedg"/>
              <w:jc w:val="center"/>
              <w:rPr>
                <w:caps w:val="0"/>
              </w:rPr>
            </w:pPr>
          </w:p>
          <w:p w:rsidR="00272186" w:rsidRDefault="00272186">
            <w:pPr>
              <w:pStyle w:val="en-ttedg"/>
              <w:jc w:val="center"/>
            </w:pPr>
          </w:p>
        </w:tc>
        <w:tc>
          <w:tcPr>
            <w:tcW w:w="5670" w:type="dxa"/>
          </w:tcPr>
          <w:p w:rsidR="00272186" w:rsidRDefault="00272186">
            <w:pPr>
              <w:pStyle w:val="en-ttedirection"/>
              <w:spacing w:before="0"/>
              <w:jc w:val="center"/>
              <w:rPr>
                <w:rFonts w:ascii="Bookman Old Style" w:hAnsi="Bookman Old Style"/>
                <w:b/>
                <w:caps w:val="0"/>
                <w:sz w:val="28"/>
                <w:u w:val="single"/>
              </w:rPr>
            </w:pPr>
          </w:p>
        </w:tc>
      </w:tr>
    </w:tbl>
    <w:p w:rsidR="00272186" w:rsidRDefault="00272186" w:rsidP="00272186">
      <w:pPr>
        <w:pStyle w:val="adresse-date"/>
        <w:tabs>
          <w:tab w:val="left" w:pos="6663"/>
          <w:tab w:val="left" w:pos="7088"/>
        </w:tabs>
        <w:spacing w:line="240" w:lineRule="auto"/>
        <w:jc w:val="right"/>
      </w:pPr>
      <w:r>
        <w:t xml:space="preserve">Paris, le </w:t>
      </w:r>
      <w:r w:rsidR="00E53789">
        <w:t>25</w:t>
      </w:r>
      <w:r>
        <w:t xml:space="preserve"> octobre 2024</w:t>
      </w:r>
    </w:p>
    <w:p w:rsidR="00272186" w:rsidRDefault="00272186" w:rsidP="00272186">
      <w:pPr>
        <w:pStyle w:val="adresse-date"/>
        <w:tabs>
          <w:tab w:val="left" w:pos="6237"/>
        </w:tabs>
        <w:spacing w:line="240" w:lineRule="auto"/>
        <w:rPr>
          <w:b/>
          <w:i/>
        </w:rPr>
      </w:pPr>
    </w:p>
    <w:p w:rsidR="00272186" w:rsidRDefault="00272186" w:rsidP="00272186">
      <w:pPr>
        <w:pStyle w:val="adresse-date"/>
        <w:tabs>
          <w:tab w:val="left" w:pos="6237"/>
        </w:tabs>
        <w:spacing w:line="240" w:lineRule="auto"/>
        <w:rPr>
          <w:b/>
          <w: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946"/>
      </w:tblGrid>
      <w:tr w:rsidR="00272186" w:rsidTr="00272186">
        <w:trPr>
          <w:trHeight w:val="575"/>
          <w:jc w:val="center"/>
        </w:trPr>
        <w:tc>
          <w:tcPr>
            <w:tcW w:w="6946" w:type="dxa"/>
            <w:tcBorders>
              <w:top w:val="single" w:sz="4" w:space="0" w:color="auto"/>
              <w:left w:val="single" w:sz="4" w:space="0" w:color="auto"/>
              <w:bottom w:val="single" w:sz="4" w:space="0" w:color="auto"/>
              <w:right w:val="single" w:sz="4" w:space="0" w:color="auto"/>
            </w:tcBorders>
            <w:shd w:val="pct15" w:color="auto" w:fill="FFFFFF"/>
          </w:tcPr>
          <w:p w:rsidR="00272186" w:rsidRDefault="00272186">
            <w:pPr>
              <w:pStyle w:val="adresse-date"/>
              <w:spacing w:line="240" w:lineRule="auto"/>
              <w:jc w:val="center"/>
              <w:rPr>
                <w:b/>
              </w:rPr>
            </w:pPr>
          </w:p>
          <w:p w:rsidR="00272186" w:rsidRDefault="00272186">
            <w:pPr>
              <w:pStyle w:val="adresse-date"/>
              <w:spacing w:line="240" w:lineRule="auto"/>
              <w:jc w:val="center"/>
              <w:rPr>
                <w:rFonts w:ascii="Arial" w:hAnsi="Arial" w:cs="Arial"/>
                <w:b/>
                <w:sz w:val="28"/>
                <w:szCs w:val="28"/>
              </w:rPr>
            </w:pPr>
            <w:r>
              <w:rPr>
                <w:rFonts w:ascii="Arial" w:hAnsi="Arial" w:cs="Arial"/>
                <w:b/>
                <w:sz w:val="28"/>
                <w:szCs w:val="28"/>
              </w:rPr>
              <w:t>NOTE TECHNIQUE n°</w:t>
            </w:r>
            <w:r>
              <w:t> </w:t>
            </w:r>
            <w:r>
              <w:rPr>
                <w:rFonts w:ascii="Arial" w:hAnsi="Arial" w:cs="Arial"/>
                <w:b/>
                <w:sz w:val="28"/>
                <w:szCs w:val="28"/>
              </w:rPr>
              <w:t>2024 – 01</w:t>
            </w:r>
          </w:p>
          <w:p w:rsidR="00272186" w:rsidRDefault="00272186">
            <w:pPr>
              <w:pStyle w:val="adresse-date"/>
              <w:spacing w:before="120" w:line="240" w:lineRule="auto"/>
              <w:jc w:val="center"/>
              <w:rPr>
                <w:rFonts w:ascii="Arial" w:hAnsi="Arial" w:cs="Arial"/>
                <w:b/>
                <w:szCs w:val="24"/>
              </w:rPr>
            </w:pPr>
            <w:r>
              <w:rPr>
                <w:rFonts w:ascii="Arial" w:hAnsi="Arial" w:cs="Arial"/>
                <w:b/>
                <w:szCs w:val="24"/>
              </w:rPr>
              <w:t xml:space="preserve">Version Octobre 2024 </w:t>
            </w:r>
          </w:p>
          <w:p w:rsidR="00272186" w:rsidRDefault="00272186">
            <w:pPr>
              <w:pStyle w:val="adresse-date"/>
              <w:spacing w:line="240" w:lineRule="auto"/>
              <w:jc w:val="center"/>
              <w:rPr>
                <w:b/>
              </w:rPr>
            </w:pPr>
          </w:p>
        </w:tc>
      </w:tr>
    </w:tbl>
    <w:p w:rsidR="00272186" w:rsidRDefault="00272186" w:rsidP="00272186">
      <w:pPr>
        <w:tabs>
          <w:tab w:val="left" w:pos="4678"/>
        </w:tabs>
      </w:pPr>
    </w:p>
    <w:p w:rsidR="00272186" w:rsidRDefault="00272186" w:rsidP="00272186">
      <w:pPr>
        <w:tabs>
          <w:tab w:val="left" w:pos="4678"/>
        </w:tabs>
        <w:jc w:val="both"/>
      </w:pPr>
    </w:p>
    <w:p w:rsidR="00272186" w:rsidRDefault="00272186" w:rsidP="00272186">
      <w:pPr>
        <w:tabs>
          <w:tab w:val="left" w:pos="851"/>
          <w:tab w:val="left" w:pos="4678"/>
        </w:tabs>
        <w:jc w:val="both"/>
      </w:pPr>
    </w:p>
    <w:p w:rsidR="00272186" w:rsidRDefault="00272186" w:rsidP="00272186">
      <w:pPr>
        <w:tabs>
          <w:tab w:val="left" w:pos="4678"/>
        </w:tabs>
        <w:jc w:val="both"/>
      </w:pPr>
    </w:p>
    <w:p w:rsidR="00272186" w:rsidRDefault="00272186" w:rsidP="00272186">
      <w:pPr>
        <w:tabs>
          <w:tab w:val="left" w:pos="4678"/>
        </w:tabs>
        <w:ind w:left="851" w:hanging="851"/>
        <w:jc w:val="both"/>
        <w:rPr>
          <w:szCs w:val="24"/>
        </w:rPr>
      </w:pPr>
      <w:r>
        <w:rPr>
          <w:u w:val="single"/>
        </w:rPr>
        <w:t>Objet</w:t>
      </w:r>
      <w:r>
        <w:t xml:space="preserve"> : </w:t>
      </w:r>
      <w:bookmarkStart w:id="0" w:name="OLE_LINK1"/>
      <w:r>
        <w:tab/>
        <w:t xml:space="preserve">Précisions sur les modalités de remise en </w:t>
      </w:r>
      <w:r>
        <w:rPr>
          <w:b/>
        </w:rPr>
        <w:t>XBRL</w:t>
      </w:r>
      <w:r>
        <w:t xml:space="preserve"> du reporting des </w:t>
      </w:r>
      <w:r>
        <w:rPr>
          <w:i/>
        </w:rPr>
        <w:t>templates</w:t>
      </w:r>
      <w:r>
        <w:t xml:space="preserve"> pour le calcul des contributions </w:t>
      </w:r>
      <w:r>
        <w:rPr>
          <w:i/>
        </w:rPr>
        <w:t>ex-ante</w:t>
      </w:r>
      <w:r>
        <w:t xml:space="preserve"> au FRU et au FRN, ainsi que pour les </w:t>
      </w:r>
      <w:r>
        <w:rPr>
          <w:i/>
        </w:rPr>
        <w:t>templates</w:t>
      </w:r>
      <w:r>
        <w:t xml:space="preserve"> permettant l’établissement des plans de résolution (RESREP </w:t>
      </w:r>
      <w:bookmarkEnd w:id="0"/>
      <w:r>
        <w:t>- RESolution REPorting)</w:t>
      </w:r>
    </w:p>
    <w:p w:rsidR="00272186" w:rsidRDefault="00272186" w:rsidP="00272186">
      <w:pPr>
        <w:tabs>
          <w:tab w:val="left" w:pos="851"/>
        </w:tabs>
        <w:rPr>
          <w:szCs w:val="24"/>
        </w:rPr>
      </w:pPr>
    </w:p>
    <w:p w:rsidR="00272186" w:rsidRDefault="00272186" w:rsidP="00272186">
      <w:pPr>
        <w:ind w:left="142"/>
        <w:jc w:val="both"/>
        <w:rPr>
          <w:szCs w:val="24"/>
        </w:rPr>
      </w:pPr>
    </w:p>
    <w:p w:rsidR="00272186" w:rsidRDefault="00272186" w:rsidP="00272186">
      <w:pPr>
        <w:ind w:left="142"/>
        <w:jc w:val="both"/>
        <w:rPr>
          <w:szCs w:val="24"/>
        </w:rPr>
      </w:pPr>
    </w:p>
    <w:p w:rsidR="00272186" w:rsidRDefault="00272186" w:rsidP="00272186">
      <w:pPr>
        <w:ind w:left="142"/>
        <w:jc w:val="both"/>
        <w:rPr>
          <w:szCs w:val="24"/>
        </w:rPr>
      </w:pPr>
      <w:r>
        <w:rPr>
          <w:szCs w:val="24"/>
        </w:rPr>
        <w:t xml:space="preserve">La présente note a pour objet de préciser les modalités techniques concernant les remises relatives aux obligations déclaratives dans le cadre des contributions </w:t>
      </w:r>
      <w:r>
        <w:rPr>
          <w:i/>
          <w:szCs w:val="24"/>
        </w:rPr>
        <w:t>ex-ante</w:t>
      </w:r>
      <w:r>
        <w:rPr>
          <w:szCs w:val="24"/>
        </w:rPr>
        <w:t xml:space="preserve"> au FRU et RESREP (LDR, CFR, FMI, CIR, MREL-TLAC et Notif_Impraticability).</w:t>
      </w:r>
    </w:p>
    <w:p w:rsidR="00272186" w:rsidRDefault="00272186" w:rsidP="00272186">
      <w:pPr>
        <w:ind w:left="142"/>
        <w:jc w:val="both"/>
      </w:pPr>
    </w:p>
    <w:p w:rsidR="00272186" w:rsidRDefault="00272186" w:rsidP="00272186">
      <w:pPr>
        <w:ind w:left="142"/>
        <w:jc w:val="both"/>
      </w:pPr>
    </w:p>
    <w:p w:rsidR="00272186" w:rsidRDefault="00272186" w:rsidP="00272186">
      <w:pPr>
        <w:ind w:left="142"/>
        <w:jc w:val="both"/>
      </w:pPr>
      <w:r>
        <w:t>Pour tout renseignement complémentaire, vous pouvez contacter le Service d’Assistance de Gestion des applications et de Maitrise d’Ouvrage - SAGEMOA à l’adresse électronique suivante :</w:t>
      </w:r>
    </w:p>
    <w:p w:rsidR="00272186" w:rsidRDefault="00272186" w:rsidP="00272186">
      <w:pPr>
        <w:ind w:left="142"/>
        <w:jc w:val="center"/>
        <w:rPr>
          <w:b/>
        </w:rPr>
      </w:pPr>
      <w:hyperlink r:id="rId9" w:history="1">
        <w:r>
          <w:rPr>
            <w:rStyle w:val="Lienhypertexte"/>
            <w:rFonts w:eastAsiaTheme="majorEastAsia"/>
          </w:rPr>
          <w:t>2718-FONGAR-UT@acpr.banque-france.fr</w:t>
        </w:r>
      </w:hyperlink>
    </w:p>
    <w:p w:rsidR="00272186" w:rsidRDefault="00272186" w:rsidP="00272186">
      <w:pPr>
        <w:rPr>
          <w:b/>
        </w:rPr>
      </w:pPr>
    </w:p>
    <w:p w:rsidR="00272186" w:rsidRDefault="00272186" w:rsidP="00272186">
      <w:pPr>
        <w:jc w:val="center"/>
        <w:rPr>
          <w:b/>
        </w:rPr>
      </w:pPr>
    </w:p>
    <w:p w:rsidR="00272186" w:rsidRDefault="00272186" w:rsidP="00272186">
      <w:pPr>
        <w:jc w:val="center"/>
        <w:rPr>
          <w:b/>
        </w:rPr>
      </w:pPr>
    </w:p>
    <w:p w:rsidR="00272186" w:rsidRDefault="00272186" w:rsidP="00272186">
      <w:pPr>
        <w:jc w:val="center"/>
        <w:rPr>
          <w:b/>
        </w:rPr>
      </w:pPr>
      <w:r>
        <w:rPr>
          <w:b/>
        </w:rPr>
        <w:br w:type="page"/>
      </w:r>
    </w:p>
    <w:p w:rsidR="00272186" w:rsidRDefault="00272186" w:rsidP="00272186">
      <w:pPr>
        <w:jc w:val="center"/>
        <w:rPr>
          <w:b/>
        </w:rPr>
      </w:pPr>
    </w:p>
    <w:p w:rsidR="00272186" w:rsidRDefault="00272186" w:rsidP="00272186">
      <w:pPr>
        <w:jc w:val="center"/>
        <w:rPr>
          <w:b/>
        </w:rPr>
      </w:pPr>
    </w:p>
    <w:p w:rsidR="00272186" w:rsidRDefault="00272186" w:rsidP="00272186">
      <w:pPr>
        <w:jc w:val="center"/>
        <w:rPr>
          <w:b/>
        </w:rPr>
      </w:pPr>
    </w:p>
    <w:p w:rsidR="00272186" w:rsidRDefault="00272186" w:rsidP="00272186">
      <w:pPr>
        <w:jc w:val="center"/>
        <w:rPr>
          <w:b/>
        </w:rPr>
      </w:pPr>
    </w:p>
    <w:p w:rsidR="00272186" w:rsidRDefault="00272186" w:rsidP="00272186">
      <w:pPr>
        <w:jc w:val="center"/>
        <w:rPr>
          <w:b/>
        </w:rPr>
      </w:pPr>
    </w:p>
    <w:p w:rsidR="00272186" w:rsidRDefault="00272186" w:rsidP="00272186">
      <w:pPr>
        <w:jc w:val="center"/>
        <w:rPr>
          <w:b/>
        </w:rPr>
      </w:pPr>
    </w:p>
    <w:p w:rsidR="00272186" w:rsidRDefault="00272186" w:rsidP="00272186">
      <w:pPr>
        <w:jc w:val="center"/>
        <w:rPr>
          <w:b/>
        </w:rPr>
      </w:pPr>
      <w:r>
        <w:rPr>
          <w:b/>
        </w:rPr>
        <w:t>TABLES DES MATIERES</w:t>
      </w:r>
    </w:p>
    <w:p w:rsidR="00272186" w:rsidRDefault="00272186" w:rsidP="00272186">
      <w:pPr>
        <w:jc w:val="center"/>
        <w:rPr>
          <w:b/>
        </w:rPr>
      </w:pPr>
    </w:p>
    <w:p w:rsidR="00272186" w:rsidRDefault="00272186" w:rsidP="00272186">
      <w:pPr>
        <w:jc w:val="center"/>
        <w:rPr>
          <w:b/>
        </w:rPr>
      </w:pPr>
    </w:p>
    <w:p w:rsidR="00272186" w:rsidRDefault="00272186" w:rsidP="00272186">
      <w:pPr>
        <w:pStyle w:val="TM1"/>
        <w:rPr>
          <w:rFonts w:ascii="Calibri" w:hAnsi="Calibri" w:cs="Times New Roman"/>
          <w:b w:val="0"/>
          <w:bCs w:val="0"/>
          <w:caps w:val="0"/>
          <w:sz w:val="22"/>
          <w:szCs w:val="22"/>
        </w:rPr>
      </w:pPr>
      <w:r>
        <w:fldChar w:fldCharType="begin"/>
      </w:r>
      <w:r>
        <w:instrText xml:space="preserve"> TOC \o "1-3" \h \z \u </w:instrText>
      </w:r>
      <w:r>
        <w:fldChar w:fldCharType="separate"/>
      </w:r>
      <w:hyperlink r:id="rId10" w:anchor="_Toc149648045" w:history="1">
        <w:r>
          <w:rPr>
            <w:rStyle w:val="Lienhypertexte"/>
            <w:rFonts w:ascii="Calibri" w:eastAsiaTheme="majorEastAsia" w:hAnsi="Calibri"/>
          </w:rPr>
          <w:t>1.</w:t>
        </w:r>
        <w:r>
          <w:rPr>
            <w:rStyle w:val="Lienhypertexte"/>
            <w:rFonts w:ascii="Calibri" w:eastAsiaTheme="majorEastAsia" w:hAnsi="Calibri" w:cs="Times New Roman"/>
            <w:b w:val="0"/>
            <w:bCs w:val="0"/>
            <w:caps w:val="0"/>
            <w:color w:val="auto"/>
            <w:sz w:val="22"/>
            <w:szCs w:val="22"/>
          </w:rPr>
          <w:tab/>
        </w:r>
        <w:r>
          <w:rPr>
            <w:rStyle w:val="Lienhypertexte"/>
            <w:rFonts w:ascii="Calibri" w:eastAsiaTheme="majorEastAsia" w:hAnsi="Calibri"/>
          </w:rPr>
          <w:t>Présentation générale</w:t>
        </w:r>
        <w:r>
          <w:rPr>
            <w:rStyle w:val="Lienhypertexte"/>
            <w:rFonts w:eastAsiaTheme="majorEastAsia"/>
            <w:webHidden/>
            <w:color w:val="auto"/>
          </w:rPr>
          <w:tab/>
        </w:r>
        <w:r>
          <w:rPr>
            <w:rStyle w:val="Lienhypertexte"/>
            <w:rFonts w:eastAsiaTheme="majorEastAsia"/>
            <w:webHidden/>
            <w:color w:val="auto"/>
          </w:rPr>
          <w:fldChar w:fldCharType="begin"/>
        </w:r>
        <w:r>
          <w:rPr>
            <w:rStyle w:val="Lienhypertexte"/>
            <w:rFonts w:eastAsiaTheme="majorEastAsia"/>
            <w:webHidden/>
            <w:color w:val="auto"/>
          </w:rPr>
          <w:instrText xml:space="preserve"> PAGEREF _Toc149648045 \h </w:instrText>
        </w:r>
        <w:r>
          <w:rPr>
            <w:rStyle w:val="Lienhypertexte"/>
            <w:rFonts w:eastAsiaTheme="majorEastAsia"/>
            <w:webHidden/>
            <w:color w:val="auto"/>
          </w:rPr>
        </w:r>
        <w:r>
          <w:rPr>
            <w:rStyle w:val="Lienhypertexte"/>
            <w:rFonts w:eastAsiaTheme="majorEastAsia"/>
            <w:webHidden/>
            <w:color w:val="auto"/>
          </w:rPr>
          <w:fldChar w:fldCharType="separate"/>
        </w:r>
        <w:r>
          <w:rPr>
            <w:rStyle w:val="Lienhypertexte"/>
            <w:rFonts w:eastAsiaTheme="majorEastAsia"/>
            <w:webHidden/>
            <w:color w:val="auto"/>
          </w:rPr>
          <w:t>4</w:t>
        </w:r>
        <w:r>
          <w:rPr>
            <w:rStyle w:val="Lienhypertexte"/>
            <w:rFonts w:eastAsiaTheme="majorEastAsia"/>
            <w:webHidden/>
            <w:color w:val="auto"/>
          </w:rPr>
          <w:fldChar w:fldCharType="end"/>
        </w:r>
      </w:hyperlink>
    </w:p>
    <w:p w:rsidR="00272186" w:rsidRDefault="00272186" w:rsidP="00272186">
      <w:pPr>
        <w:pStyle w:val="TM2"/>
        <w:rPr>
          <w:rFonts w:ascii="Calibri" w:hAnsi="Calibri"/>
          <w:noProof/>
          <w:sz w:val="22"/>
          <w:szCs w:val="22"/>
        </w:rPr>
      </w:pPr>
      <w:hyperlink r:id="rId11" w:anchor="_Toc149648046" w:history="1">
        <w:r>
          <w:rPr>
            <w:rStyle w:val="Lienhypertexte"/>
            <w:rFonts w:ascii="Symbol" w:eastAsiaTheme="majorEastAsia" w:hAnsi="Symbol"/>
            <w:noProof/>
          </w:rPr>
          <w:t>·</w:t>
        </w:r>
        <w:r>
          <w:rPr>
            <w:rStyle w:val="Lienhypertexte"/>
            <w:rFonts w:ascii="Calibri" w:eastAsiaTheme="majorEastAsia" w:hAnsi="Calibri"/>
            <w:noProof/>
            <w:color w:val="auto"/>
            <w:sz w:val="22"/>
            <w:szCs w:val="22"/>
          </w:rPr>
          <w:tab/>
        </w:r>
        <w:r>
          <w:rPr>
            <w:rStyle w:val="Lienhypertexte"/>
            <w:rFonts w:eastAsiaTheme="majorEastAsia"/>
            <w:b/>
            <w:noProof/>
          </w:rPr>
          <w:t>Collecte FRU-FRN</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_Toc149648046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4</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12" w:anchor="_Toc149648047" w:history="1">
        <w:r>
          <w:rPr>
            <w:rStyle w:val="Lienhypertexte"/>
            <w:rFonts w:ascii="Symbol" w:eastAsiaTheme="majorEastAsia" w:hAnsi="Symbol"/>
            <w:noProof/>
          </w:rPr>
          <w:t>·</w:t>
        </w:r>
        <w:r>
          <w:rPr>
            <w:rStyle w:val="Lienhypertexte"/>
            <w:rFonts w:ascii="Calibri" w:eastAsiaTheme="majorEastAsia" w:hAnsi="Calibri"/>
            <w:noProof/>
            <w:color w:val="auto"/>
            <w:sz w:val="22"/>
            <w:szCs w:val="22"/>
          </w:rPr>
          <w:tab/>
        </w:r>
        <w:r>
          <w:rPr>
            <w:rStyle w:val="Lienhypertexte"/>
            <w:rFonts w:eastAsiaTheme="majorEastAsia"/>
            <w:b/>
            <w:noProof/>
          </w:rPr>
          <w:t>Collecte RESREP</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_Toc149648047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4</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13" w:anchor="_Toc149648048" w:history="1">
        <w:r>
          <w:rPr>
            <w:rStyle w:val="Lienhypertexte"/>
            <w:rFonts w:ascii="Symbol" w:eastAsiaTheme="majorEastAsia" w:hAnsi="Symbol"/>
            <w:noProof/>
          </w:rPr>
          <w:t>·</w:t>
        </w:r>
        <w:r>
          <w:rPr>
            <w:rStyle w:val="Lienhypertexte"/>
            <w:rFonts w:ascii="Calibri" w:eastAsiaTheme="majorEastAsia" w:hAnsi="Calibri"/>
            <w:noProof/>
            <w:color w:val="auto"/>
            <w:sz w:val="22"/>
            <w:szCs w:val="22"/>
          </w:rPr>
          <w:tab/>
        </w:r>
        <w:r>
          <w:rPr>
            <w:rStyle w:val="Lienhypertexte"/>
            <w:rFonts w:eastAsiaTheme="majorEastAsia"/>
            <w:b/>
            <w:noProof/>
          </w:rPr>
          <w:t>Détail des attendus</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_Toc149648048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5</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14" w:anchor="_Toc149648049" w:history="1">
        <w:r>
          <w:rPr>
            <w:rStyle w:val="Lienhypertexte"/>
            <w:rFonts w:ascii="Symbol" w:eastAsiaTheme="majorEastAsia" w:hAnsi="Symbol"/>
            <w:noProof/>
          </w:rPr>
          <w:t>·</w:t>
        </w:r>
        <w:r>
          <w:rPr>
            <w:rStyle w:val="Lienhypertexte"/>
            <w:rFonts w:ascii="Calibri" w:eastAsiaTheme="majorEastAsia" w:hAnsi="Calibri"/>
            <w:noProof/>
            <w:color w:val="auto"/>
            <w:sz w:val="22"/>
            <w:szCs w:val="22"/>
          </w:rPr>
          <w:tab/>
        </w:r>
        <w:r>
          <w:rPr>
            <w:rStyle w:val="Lienhypertexte"/>
            <w:rFonts w:eastAsiaTheme="majorEastAsia"/>
            <w:b/>
            <w:noProof/>
          </w:rPr>
          <w:t>Règle générale de remise en XBRL</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_Toc149648049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5</w:t>
        </w:r>
        <w:r>
          <w:rPr>
            <w:rStyle w:val="Lienhypertexte"/>
            <w:rFonts w:eastAsiaTheme="majorEastAsia"/>
            <w:noProof/>
            <w:webHidden/>
            <w:color w:val="auto"/>
          </w:rPr>
          <w:fldChar w:fldCharType="end"/>
        </w:r>
      </w:hyperlink>
    </w:p>
    <w:p w:rsidR="00272186" w:rsidRDefault="00272186" w:rsidP="00272186">
      <w:pPr>
        <w:pStyle w:val="TM1"/>
        <w:rPr>
          <w:rFonts w:ascii="Calibri" w:hAnsi="Calibri" w:cs="Times New Roman"/>
          <w:b w:val="0"/>
          <w:bCs w:val="0"/>
          <w:caps w:val="0"/>
          <w:sz w:val="22"/>
          <w:szCs w:val="22"/>
        </w:rPr>
      </w:pPr>
      <w:hyperlink r:id="rId15" w:anchor="_Toc149648050" w:history="1">
        <w:r>
          <w:rPr>
            <w:rStyle w:val="Lienhypertexte"/>
            <w:rFonts w:ascii="Calibri" w:eastAsiaTheme="majorEastAsia" w:hAnsi="Calibri"/>
          </w:rPr>
          <w:t>2.</w:t>
        </w:r>
        <w:r>
          <w:rPr>
            <w:rStyle w:val="Lienhypertexte"/>
            <w:rFonts w:ascii="Calibri" w:eastAsiaTheme="majorEastAsia" w:hAnsi="Calibri" w:cs="Times New Roman"/>
            <w:b w:val="0"/>
            <w:bCs w:val="0"/>
            <w:caps w:val="0"/>
            <w:color w:val="auto"/>
            <w:sz w:val="22"/>
            <w:szCs w:val="22"/>
          </w:rPr>
          <w:tab/>
        </w:r>
        <w:r>
          <w:rPr>
            <w:rStyle w:val="Lienhypertexte"/>
            <w:rFonts w:ascii="Calibri" w:eastAsiaTheme="majorEastAsia" w:hAnsi="Calibri"/>
          </w:rPr>
          <w:t>Canal de transmission</w:t>
        </w:r>
        <w:r>
          <w:rPr>
            <w:rStyle w:val="Lienhypertexte"/>
            <w:rFonts w:eastAsiaTheme="majorEastAsia"/>
            <w:webHidden/>
            <w:color w:val="auto"/>
          </w:rPr>
          <w:tab/>
        </w:r>
        <w:r>
          <w:rPr>
            <w:rStyle w:val="Lienhypertexte"/>
            <w:rFonts w:eastAsiaTheme="majorEastAsia"/>
            <w:webHidden/>
            <w:color w:val="auto"/>
          </w:rPr>
          <w:fldChar w:fldCharType="begin"/>
        </w:r>
        <w:r>
          <w:rPr>
            <w:rStyle w:val="Lienhypertexte"/>
            <w:rFonts w:eastAsiaTheme="majorEastAsia"/>
            <w:webHidden/>
            <w:color w:val="auto"/>
          </w:rPr>
          <w:instrText xml:space="preserve"> PAGEREF _Toc149648050 \h </w:instrText>
        </w:r>
        <w:r>
          <w:rPr>
            <w:rStyle w:val="Lienhypertexte"/>
            <w:rFonts w:eastAsiaTheme="majorEastAsia"/>
            <w:webHidden/>
            <w:color w:val="auto"/>
          </w:rPr>
        </w:r>
        <w:r>
          <w:rPr>
            <w:rStyle w:val="Lienhypertexte"/>
            <w:rFonts w:eastAsiaTheme="majorEastAsia"/>
            <w:webHidden/>
            <w:color w:val="auto"/>
          </w:rPr>
          <w:fldChar w:fldCharType="separate"/>
        </w:r>
        <w:r>
          <w:rPr>
            <w:rStyle w:val="Lienhypertexte"/>
            <w:rFonts w:eastAsiaTheme="majorEastAsia"/>
            <w:webHidden/>
            <w:color w:val="auto"/>
          </w:rPr>
          <w:t>5</w:t>
        </w:r>
        <w:r>
          <w:rPr>
            <w:rStyle w:val="Lienhypertexte"/>
            <w:rFonts w:eastAsiaTheme="majorEastAsia"/>
            <w:webHidden/>
            <w:color w:val="auto"/>
          </w:rPr>
          <w:fldChar w:fldCharType="end"/>
        </w:r>
      </w:hyperlink>
    </w:p>
    <w:p w:rsidR="00272186" w:rsidRDefault="00272186" w:rsidP="00272186">
      <w:pPr>
        <w:pStyle w:val="TM1"/>
        <w:rPr>
          <w:rFonts w:ascii="Calibri" w:hAnsi="Calibri" w:cs="Times New Roman"/>
          <w:b w:val="0"/>
          <w:bCs w:val="0"/>
          <w:caps w:val="0"/>
          <w:sz w:val="22"/>
          <w:szCs w:val="22"/>
        </w:rPr>
      </w:pPr>
      <w:hyperlink r:id="rId16" w:anchor="_Toc149648051" w:history="1">
        <w:r>
          <w:rPr>
            <w:rStyle w:val="Lienhypertexte"/>
            <w:rFonts w:ascii="Calibri" w:eastAsiaTheme="majorEastAsia" w:hAnsi="Calibri"/>
          </w:rPr>
          <w:t>3.</w:t>
        </w:r>
        <w:r>
          <w:rPr>
            <w:rStyle w:val="Lienhypertexte"/>
            <w:rFonts w:ascii="Calibri" w:eastAsiaTheme="majorEastAsia" w:hAnsi="Calibri" w:cs="Times New Roman"/>
            <w:b w:val="0"/>
            <w:bCs w:val="0"/>
            <w:caps w:val="0"/>
            <w:color w:val="auto"/>
            <w:sz w:val="22"/>
            <w:szCs w:val="22"/>
          </w:rPr>
          <w:tab/>
        </w:r>
        <w:r>
          <w:rPr>
            <w:rStyle w:val="Lienhypertexte"/>
            <w:rFonts w:ascii="Calibri" w:eastAsiaTheme="majorEastAsia" w:hAnsi="Calibri"/>
          </w:rPr>
          <w:t>Contenu des Fichiers et règles de format (</w:t>
        </w:r>
        <w:r>
          <w:rPr>
            <w:rStyle w:val="Lienhypertexte"/>
            <w:rFonts w:ascii="Calibri" w:eastAsiaTheme="majorEastAsia" w:hAnsi="Calibri"/>
            <w:i/>
          </w:rPr>
          <w:t>filing rules</w:t>
        </w:r>
        <w:r>
          <w:rPr>
            <w:rStyle w:val="Lienhypertexte"/>
            <w:rFonts w:ascii="Calibri" w:eastAsiaTheme="majorEastAsia" w:hAnsi="Calibri"/>
          </w:rPr>
          <w:t>)</w:t>
        </w:r>
        <w:r>
          <w:rPr>
            <w:rStyle w:val="Lienhypertexte"/>
            <w:rFonts w:eastAsiaTheme="majorEastAsia"/>
            <w:webHidden/>
            <w:color w:val="auto"/>
          </w:rPr>
          <w:tab/>
        </w:r>
        <w:r>
          <w:rPr>
            <w:rStyle w:val="Lienhypertexte"/>
            <w:rFonts w:eastAsiaTheme="majorEastAsia"/>
            <w:webHidden/>
            <w:color w:val="auto"/>
          </w:rPr>
          <w:fldChar w:fldCharType="begin"/>
        </w:r>
        <w:r>
          <w:rPr>
            <w:rStyle w:val="Lienhypertexte"/>
            <w:rFonts w:eastAsiaTheme="majorEastAsia"/>
            <w:webHidden/>
            <w:color w:val="auto"/>
          </w:rPr>
          <w:instrText xml:space="preserve"> PAGEREF _Toc149648051 \h </w:instrText>
        </w:r>
        <w:r>
          <w:rPr>
            <w:rStyle w:val="Lienhypertexte"/>
            <w:rFonts w:eastAsiaTheme="majorEastAsia"/>
            <w:webHidden/>
            <w:color w:val="auto"/>
          </w:rPr>
        </w:r>
        <w:r>
          <w:rPr>
            <w:rStyle w:val="Lienhypertexte"/>
            <w:rFonts w:eastAsiaTheme="majorEastAsia"/>
            <w:webHidden/>
            <w:color w:val="auto"/>
          </w:rPr>
          <w:fldChar w:fldCharType="separate"/>
        </w:r>
        <w:r>
          <w:rPr>
            <w:rStyle w:val="Lienhypertexte"/>
            <w:rFonts w:eastAsiaTheme="majorEastAsia"/>
            <w:webHidden/>
            <w:color w:val="auto"/>
          </w:rPr>
          <w:t>5</w:t>
        </w:r>
        <w:r>
          <w:rPr>
            <w:rStyle w:val="Lienhypertexte"/>
            <w:rFonts w:eastAsiaTheme="majorEastAsia"/>
            <w:webHidden/>
            <w:color w:val="auto"/>
          </w:rPr>
          <w:fldChar w:fldCharType="end"/>
        </w:r>
      </w:hyperlink>
    </w:p>
    <w:p w:rsidR="00272186" w:rsidRDefault="00272186" w:rsidP="00272186">
      <w:pPr>
        <w:pStyle w:val="TM2"/>
        <w:rPr>
          <w:rFonts w:ascii="Calibri" w:hAnsi="Calibri"/>
          <w:noProof/>
          <w:sz w:val="22"/>
          <w:szCs w:val="22"/>
        </w:rPr>
      </w:pPr>
      <w:hyperlink r:id="rId17" w:anchor="_Toc149648052" w:history="1">
        <w:r>
          <w:rPr>
            <w:rStyle w:val="Lienhypertexte"/>
            <w:rFonts w:eastAsiaTheme="majorEastAsia"/>
            <w:b/>
            <w:noProof/>
          </w:rPr>
          <w:t>Remarque générale</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_Toc149648052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5</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18" w:anchor="_Toc149648053" w:history="1">
        <w:r>
          <w:rPr>
            <w:rStyle w:val="Lienhypertexte"/>
            <w:rFonts w:eastAsiaTheme="majorEastAsia"/>
            <w:b/>
            <w:noProof/>
          </w:rPr>
          <w:t>3.1</w:t>
        </w:r>
        <w:r>
          <w:rPr>
            <w:rStyle w:val="Lienhypertexte"/>
            <w:rFonts w:ascii="Calibri" w:eastAsiaTheme="majorEastAsia" w:hAnsi="Calibri"/>
            <w:noProof/>
            <w:color w:val="auto"/>
            <w:sz w:val="22"/>
            <w:szCs w:val="22"/>
          </w:rPr>
          <w:tab/>
        </w:r>
        <w:r>
          <w:rPr>
            <w:rStyle w:val="Lienhypertexte"/>
            <w:rFonts w:eastAsiaTheme="majorEastAsia"/>
            <w:b/>
            <w:noProof/>
          </w:rPr>
          <w:t>Monnaie de remise</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_Toc149648053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6</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19" w:anchor="_Toc149648054" w:history="1">
        <w:r>
          <w:rPr>
            <w:rStyle w:val="Lienhypertexte"/>
            <w:rFonts w:eastAsiaTheme="majorEastAsia"/>
            <w:b/>
            <w:noProof/>
          </w:rPr>
          <w:t>3.2</w:t>
        </w:r>
        <w:r>
          <w:rPr>
            <w:rStyle w:val="Lienhypertexte"/>
            <w:rFonts w:ascii="Calibri" w:eastAsiaTheme="majorEastAsia" w:hAnsi="Calibri"/>
            <w:noProof/>
            <w:color w:val="auto"/>
            <w:sz w:val="22"/>
            <w:szCs w:val="22"/>
          </w:rPr>
          <w:tab/>
        </w:r>
        <w:r>
          <w:rPr>
            <w:rStyle w:val="Lienhypertexte"/>
            <w:rFonts w:eastAsiaTheme="majorEastAsia"/>
            <w:b/>
            <w:noProof/>
          </w:rPr>
          <w:t>Spécificités des fichiers XBRL par dépôt de remises bureautiques</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_Toc149648054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6</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0" w:anchor="_Toc149648055" w:history="1">
        <w:r>
          <w:rPr>
            <w:rStyle w:val="Lienhypertexte"/>
            <w:rFonts w:eastAsiaTheme="majorEastAsia"/>
            <w:b/>
            <w:noProof/>
          </w:rPr>
          <w:t>3.3</w:t>
        </w:r>
        <w:r>
          <w:rPr>
            <w:rStyle w:val="Lienhypertexte"/>
            <w:rFonts w:ascii="Calibri" w:eastAsiaTheme="majorEastAsia" w:hAnsi="Calibri"/>
            <w:noProof/>
            <w:color w:val="auto"/>
            <w:sz w:val="22"/>
            <w:szCs w:val="22"/>
          </w:rPr>
          <w:tab/>
        </w:r>
        <w:r>
          <w:rPr>
            <w:rStyle w:val="Lienhypertexte"/>
            <w:rFonts w:eastAsiaTheme="majorEastAsia"/>
            <w:b/>
            <w:noProof/>
          </w:rPr>
          <w:t>Période</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_Toc149648055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7</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1" w:anchor="_Toc149648056" w:history="1">
        <w:r>
          <w:rPr>
            <w:rStyle w:val="Lienhypertexte"/>
            <w:rFonts w:eastAsiaTheme="majorEastAsia"/>
            <w:b/>
            <w:noProof/>
          </w:rPr>
          <w:t>3.4</w:t>
        </w:r>
        <w:r>
          <w:rPr>
            <w:rStyle w:val="Lienhypertexte"/>
            <w:rFonts w:ascii="Calibri" w:eastAsiaTheme="majorEastAsia" w:hAnsi="Calibri"/>
            <w:noProof/>
            <w:color w:val="auto"/>
            <w:sz w:val="22"/>
            <w:szCs w:val="22"/>
          </w:rPr>
          <w:tab/>
        </w:r>
        <w:r>
          <w:rPr>
            <w:rStyle w:val="Lienhypertexte"/>
            <w:rFonts w:eastAsiaTheme="majorEastAsia"/>
            <w:b/>
            <w:noProof/>
          </w:rPr>
          <w:t>Identification des entités et niveau de consolidation</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_Toc149648056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8</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2" w:anchor="_Toc149648057" w:history="1">
        <w:r>
          <w:rPr>
            <w:rStyle w:val="Lienhypertexte"/>
            <w:rFonts w:eastAsiaTheme="majorEastAsia"/>
            <w:b/>
            <w:noProof/>
          </w:rPr>
          <w:t>3.5</w:t>
        </w:r>
        <w:r>
          <w:rPr>
            <w:rStyle w:val="Lienhypertexte"/>
            <w:rFonts w:ascii="Calibri" w:eastAsiaTheme="majorEastAsia" w:hAnsi="Calibri"/>
            <w:noProof/>
            <w:color w:val="auto"/>
            <w:sz w:val="22"/>
            <w:szCs w:val="22"/>
          </w:rPr>
          <w:tab/>
        </w:r>
        <w:r>
          <w:rPr>
            <w:rStyle w:val="Lienhypertexte"/>
            <w:rFonts w:eastAsiaTheme="majorEastAsia"/>
            <w:b/>
            <w:noProof/>
          </w:rPr>
          <w:t>Schéma ref</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_Toc149648057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9</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3" w:anchor="_Toc149648058" w:history="1">
        <w:r>
          <w:rPr>
            <w:rStyle w:val="Lienhypertexte"/>
            <w:rFonts w:eastAsiaTheme="majorEastAsia"/>
            <w:b/>
            <w:noProof/>
          </w:rPr>
          <w:t>3.6</w:t>
        </w:r>
        <w:r>
          <w:rPr>
            <w:rStyle w:val="Lienhypertexte"/>
            <w:rFonts w:ascii="Calibri" w:eastAsiaTheme="majorEastAsia" w:hAnsi="Calibri"/>
            <w:noProof/>
            <w:color w:val="auto"/>
            <w:sz w:val="22"/>
            <w:szCs w:val="22"/>
          </w:rPr>
          <w:tab/>
        </w:r>
        <w:r>
          <w:rPr>
            <w:rStyle w:val="Lienhypertexte"/>
            <w:rFonts w:eastAsiaTheme="majorEastAsia"/>
            <w:b/>
            <w:noProof/>
          </w:rPr>
          <w:t>Niveau de consolidation à déclarer</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_Toc149648058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10</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4" w:anchor="_Toc149648059" w:history="1">
        <w:r>
          <w:rPr>
            <w:rStyle w:val="Lienhypertexte"/>
            <w:rFonts w:eastAsiaTheme="majorEastAsia"/>
            <w:b/>
            <w:noProof/>
          </w:rPr>
          <w:t>3.7</w:t>
        </w:r>
        <w:r>
          <w:rPr>
            <w:rStyle w:val="Lienhypertexte"/>
            <w:rFonts w:ascii="Calibri" w:eastAsiaTheme="majorEastAsia" w:hAnsi="Calibri"/>
            <w:noProof/>
            <w:color w:val="auto"/>
            <w:sz w:val="22"/>
            <w:szCs w:val="22"/>
          </w:rPr>
          <w:tab/>
        </w:r>
        <w:r>
          <w:rPr>
            <w:rStyle w:val="Lienhypertexte"/>
            <w:rFonts w:eastAsiaTheme="majorEastAsia"/>
            <w:b/>
            <w:noProof/>
          </w:rPr>
          <w:t>Filing rules pour les remises FRU / FRN</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_Toc149648059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10</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5" w:anchor="_Toc149648060" w:history="1">
        <w:r>
          <w:rPr>
            <w:rStyle w:val="Lienhypertexte"/>
            <w:rFonts w:eastAsiaTheme="majorEastAsia"/>
            <w:b/>
            <w:noProof/>
          </w:rPr>
          <w:t>3.8</w:t>
        </w:r>
        <w:r>
          <w:rPr>
            <w:rStyle w:val="Lienhypertexte"/>
            <w:rFonts w:ascii="Calibri" w:eastAsiaTheme="majorEastAsia" w:hAnsi="Calibri"/>
            <w:noProof/>
            <w:color w:val="auto"/>
            <w:sz w:val="22"/>
            <w:szCs w:val="22"/>
          </w:rPr>
          <w:tab/>
        </w:r>
        <w:r>
          <w:rPr>
            <w:rStyle w:val="Lienhypertexte"/>
            <w:rFonts w:eastAsiaTheme="majorEastAsia"/>
            <w:b/>
            <w:noProof/>
          </w:rPr>
          <w:t>Filing rules pour LDR, CFR, FMIR et CIR</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_Toc149648060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11</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6" w:anchor="_Toc149648061" w:history="1">
        <w:r>
          <w:rPr>
            <w:rStyle w:val="Lienhypertexte"/>
            <w:rFonts w:eastAsiaTheme="majorEastAsia"/>
            <w:b/>
            <w:noProof/>
          </w:rPr>
          <w:t>3.9</w:t>
        </w:r>
        <w:r>
          <w:rPr>
            <w:rStyle w:val="Lienhypertexte"/>
            <w:rFonts w:ascii="Calibri" w:eastAsiaTheme="majorEastAsia" w:hAnsi="Calibri"/>
            <w:noProof/>
            <w:color w:val="auto"/>
            <w:sz w:val="22"/>
            <w:szCs w:val="22"/>
          </w:rPr>
          <w:tab/>
        </w:r>
        <w:r>
          <w:rPr>
            <w:rStyle w:val="Lienhypertexte"/>
            <w:rFonts w:eastAsiaTheme="majorEastAsia"/>
            <w:b/>
            <w:noProof/>
          </w:rPr>
          <w:t>Filing rules pour MREL-TLAC</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_Toc149648061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12</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7" w:anchor="_Toc149648062" w:history="1">
        <w:r>
          <w:rPr>
            <w:rStyle w:val="Lienhypertexte"/>
            <w:rFonts w:eastAsiaTheme="majorEastAsia"/>
            <w:b/>
            <w:noProof/>
            <w:lang w:val="en-US"/>
          </w:rPr>
          <w:t>3.10</w:t>
        </w:r>
        <w:r>
          <w:rPr>
            <w:rStyle w:val="Lienhypertexte"/>
            <w:rFonts w:ascii="Calibri" w:eastAsiaTheme="majorEastAsia" w:hAnsi="Calibri"/>
            <w:noProof/>
            <w:color w:val="auto"/>
            <w:sz w:val="22"/>
            <w:szCs w:val="22"/>
          </w:rPr>
          <w:tab/>
        </w:r>
        <w:r>
          <w:rPr>
            <w:rStyle w:val="Lienhypertexte"/>
            <w:rFonts w:eastAsiaTheme="majorEastAsia"/>
            <w:b/>
            <w:noProof/>
            <w:lang w:val="en-US"/>
          </w:rPr>
          <w:t>Filing rules pour NOTIF IMPRACTICABILITY (art. 55 BRRD)</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_Toc149648062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13</w:t>
        </w:r>
        <w:r>
          <w:rPr>
            <w:rStyle w:val="Lienhypertexte"/>
            <w:rFonts w:eastAsiaTheme="majorEastAsia"/>
            <w:noProof/>
            <w:webHidden/>
            <w:color w:val="auto"/>
          </w:rPr>
          <w:fldChar w:fldCharType="end"/>
        </w:r>
      </w:hyperlink>
    </w:p>
    <w:p w:rsidR="00272186" w:rsidRDefault="00272186" w:rsidP="00272186">
      <w:pPr>
        <w:pStyle w:val="TM2"/>
        <w:rPr>
          <w:rFonts w:ascii="Calibri" w:hAnsi="Calibri"/>
          <w:noProof/>
          <w:sz w:val="22"/>
          <w:szCs w:val="22"/>
        </w:rPr>
      </w:pPr>
      <w:hyperlink r:id="rId28" w:anchor="_Toc149648063" w:history="1">
        <w:r>
          <w:rPr>
            <w:rStyle w:val="Lienhypertexte"/>
            <w:rFonts w:eastAsiaTheme="majorEastAsia"/>
            <w:b/>
            <w:noProof/>
          </w:rPr>
          <w:t>3.11</w:t>
        </w:r>
        <w:r>
          <w:rPr>
            <w:rStyle w:val="Lienhypertexte"/>
            <w:rFonts w:ascii="Calibri" w:eastAsiaTheme="majorEastAsia" w:hAnsi="Calibri"/>
            <w:noProof/>
            <w:color w:val="auto"/>
            <w:sz w:val="22"/>
            <w:szCs w:val="22"/>
          </w:rPr>
          <w:tab/>
        </w:r>
        <w:r>
          <w:rPr>
            <w:rStyle w:val="Lienhypertexte"/>
            <w:rFonts w:eastAsiaTheme="majorEastAsia"/>
            <w:b/>
            <w:noProof/>
          </w:rPr>
          <w:t>Règles de nommage</w:t>
        </w:r>
        <w:r>
          <w:rPr>
            <w:rStyle w:val="Lienhypertexte"/>
            <w:rFonts w:eastAsiaTheme="majorEastAsia"/>
            <w:noProof/>
            <w:webHidden/>
            <w:color w:val="auto"/>
          </w:rPr>
          <w:tab/>
        </w:r>
        <w:r>
          <w:rPr>
            <w:rStyle w:val="Lienhypertexte"/>
            <w:rFonts w:eastAsiaTheme="majorEastAsia"/>
            <w:noProof/>
            <w:webHidden/>
            <w:color w:val="auto"/>
          </w:rPr>
          <w:fldChar w:fldCharType="begin"/>
        </w:r>
        <w:r>
          <w:rPr>
            <w:rStyle w:val="Lienhypertexte"/>
            <w:rFonts w:eastAsiaTheme="majorEastAsia"/>
            <w:noProof/>
            <w:webHidden/>
            <w:color w:val="auto"/>
          </w:rPr>
          <w:instrText xml:space="preserve"> PAGEREF _Toc149648063 \h </w:instrText>
        </w:r>
        <w:r>
          <w:rPr>
            <w:rStyle w:val="Lienhypertexte"/>
            <w:rFonts w:eastAsiaTheme="majorEastAsia"/>
            <w:noProof/>
            <w:webHidden/>
            <w:color w:val="auto"/>
          </w:rPr>
        </w:r>
        <w:r>
          <w:rPr>
            <w:rStyle w:val="Lienhypertexte"/>
            <w:rFonts w:eastAsiaTheme="majorEastAsia"/>
            <w:noProof/>
            <w:webHidden/>
            <w:color w:val="auto"/>
          </w:rPr>
          <w:fldChar w:fldCharType="separate"/>
        </w:r>
        <w:r>
          <w:rPr>
            <w:rStyle w:val="Lienhypertexte"/>
            <w:rFonts w:eastAsiaTheme="majorEastAsia"/>
            <w:noProof/>
            <w:webHidden/>
            <w:color w:val="auto"/>
          </w:rPr>
          <w:t>13</w:t>
        </w:r>
        <w:r>
          <w:rPr>
            <w:rStyle w:val="Lienhypertexte"/>
            <w:rFonts w:eastAsiaTheme="majorEastAsia"/>
            <w:noProof/>
            <w:webHidden/>
            <w:color w:val="auto"/>
          </w:rPr>
          <w:fldChar w:fldCharType="end"/>
        </w:r>
      </w:hyperlink>
    </w:p>
    <w:p w:rsidR="00272186" w:rsidRDefault="00272186" w:rsidP="00272186">
      <w:pPr>
        <w:pStyle w:val="TM1"/>
        <w:rPr>
          <w:rFonts w:ascii="Calibri" w:hAnsi="Calibri" w:cs="Times New Roman"/>
          <w:b w:val="0"/>
          <w:bCs w:val="0"/>
          <w:caps w:val="0"/>
          <w:sz w:val="22"/>
          <w:szCs w:val="22"/>
        </w:rPr>
      </w:pPr>
      <w:hyperlink r:id="rId29" w:anchor="_Toc149648064" w:history="1">
        <w:r>
          <w:rPr>
            <w:rStyle w:val="Lienhypertexte"/>
            <w:rFonts w:ascii="Calibri" w:eastAsiaTheme="majorEastAsia" w:hAnsi="Calibri"/>
          </w:rPr>
          <w:t>4.</w:t>
        </w:r>
        <w:r>
          <w:rPr>
            <w:rStyle w:val="Lienhypertexte"/>
            <w:rFonts w:ascii="Calibri" w:eastAsiaTheme="majorEastAsia" w:hAnsi="Calibri" w:cs="Times New Roman"/>
            <w:b w:val="0"/>
            <w:bCs w:val="0"/>
            <w:caps w:val="0"/>
            <w:color w:val="auto"/>
            <w:sz w:val="22"/>
            <w:szCs w:val="22"/>
          </w:rPr>
          <w:tab/>
        </w:r>
        <w:r>
          <w:rPr>
            <w:rStyle w:val="Lienhypertexte"/>
            <w:rFonts w:ascii="Calibri" w:eastAsiaTheme="majorEastAsia" w:hAnsi="Calibri"/>
          </w:rPr>
          <w:t>Signature électronique des remises</w:t>
        </w:r>
        <w:r>
          <w:rPr>
            <w:rStyle w:val="Lienhypertexte"/>
            <w:rFonts w:eastAsiaTheme="majorEastAsia"/>
            <w:webHidden/>
            <w:color w:val="auto"/>
          </w:rPr>
          <w:tab/>
        </w:r>
        <w:r>
          <w:rPr>
            <w:rStyle w:val="Lienhypertexte"/>
            <w:rFonts w:eastAsiaTheme="majorEastAsia"/>
            <w:webHidden/>
            <w:color w:val="auto"/>
          </w:rPr>
          <w:fldChar w:fldCharType="begin"/>
        </w:r>
        <w:r>
          <w:rPr>
            <w:rStyle w:val="Lienhypertexte"/>
            <w:rFonts w:eastAsiaTheme="majorEastAsia"/>
            <w:webHidden/>
            <w:color w:val="auto"/>
          </w:rPr>
          <w:instrText xml:space="preserve"> PAGEREF _Toc149648064 \h </w:instrText>
        </w:r>
        <w:r>
          <w:rPr>
            <w:rStyle w:val="Lienhypertexte"/>
            <w:rFonts w:eastAsiaTheme="majorEastAsia"/>
            <w:webHidden/>
            <w:color w:val="auto"/>
          </w:rPr>
        </w:r>
        <w:r>
          <w:rPr>
            <w:rStyle w:val="Lienhypertexte"/>
            <w:rFonts w:eastAsiaTheme="majorEastAsia"/>
            <w:webHidden/>
            <w:color w:val="auto"/>
          </w:rPr>
          <w:fldChar w:fldCharType="separate"/>
        </w:r>
        <w:r>
          <w:rPr>
            <w:rStyle w:val="Lienhypertexte"/>
            <w:rFonts w:eastAsiaTheme="majorEastAsia"/>
            <w:webHidden/>
            <w:color w:val="auto"/>
          </w:rPr>
          <w:t>13</w:t>
        </w:r>
        <w:r>
          <w:rPr>
            <w:rStyle w:val="Lienhypertexte"/>
            <w:rFonts w:eastAsiaTheme="majorEastAsia"/>
            <w:webHidden/>
            <w:color w:val="auto"/>
          </w:rPr>
          <w:fldChar w:fldCharType="end"/>
        </w:r>
      </w:hyperlink>
    </w:p>
    <w:p w:rsidR="00272186" w:rsidRDefault="00272186" w:rsidP="00272186">
      <w:r>
        <w:fldChar w:fldCharType="end"/>
      </w:r>
    </w:p>
    <w:p w:rsidR="00272186" w:rsidRDefault="00272186" w:rsidP="00272186"/>
    <w:p w:rsidR="00272186" w:rsidRDefault="00272186" w:rsidP="00272186"/>
    <w:p w:rsidR="00272186" w:rsidRDefault="00272186" w:rsidP="00272186"/>
    <w:p w:rsidR="00272186" w:rsidRDefault="00272186" w:rsidP="00272186"/>
    <w:p w:rsidR="00272186" w:rsidRDefault="00272186" w:rsidP="00272186">
      <w:r>
        <w:br w:type="page"/>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136"/>
        <w:gridCol w:w="1136"/>
        <w:gridCol w:w="6372"/>
      </w:tblGrid>
      <w:tr w:rsidR="00272186" w:rsidTr="00E00B0F">
        <w:trPr>
          <w:trHeight w:val="48"/>
          <w:jc w:val="center"/>
        </w:trPr>
        <w:tc>
          <w:tcPr>
            <w:tcW w:w="18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2186" w:rsidRDefault="00272186">
            <w:pPr>
              <w:pStyle w:val="Default"/>
              <w:jc w:val="center"/>
              <w:rPr>
                <w:sz w:val="23"/>
                <w:szCs w:val="23"/>
              </w:rPr>
            </w:pPr>
            <w:r>
              <w:rPr>
                <w:sz w:val="23"/>
                <w:szCs w:val="23"/>
              </w:rPr>
              <w:lastRenderedPageBreak/>
              <w:t>Suivi des MaJ :</w:t>
            </w:r>
          </w:p>
        </w:tc>
        <w:tc>
          <w:tcPr>
            <w:tcW w:w="1136" w:type="dxa"/>
            <w:tcBorders>
              <w:top w:val="single" w:sz="4" w:space="0" w:color="auto"/>
              <w:left w:val="single" w:sz="4" w:space="0" w:color="auto"/>
              <w:bottom w:val="single" w:sz="4" w:space="0" w:color="auto"/>
              <w:right w:val="single" w:sz="4" w:space="0" w:color="auto"/>
            </w:tcBorders>
            <w:shd w:val="clear" w:color="auto" w:fill="F2F2F2"/>
            <w:hideMark/>
          </w:tcPr>
          <w:p w:rsidR="00272186" w:rsidRDefault="00272186">
            <w:pPr>
              <w:pStyle w:val="Default"/>
              <w:jc w:val="center"/>
              <w:rPr>
                <w:b/>
                <w:bCs/>
                <w:sz w:val="23"/>
                <w:szCs w:val="23"/>
              </w:rPr>
            </w:pPr>
            <w:r>
              <w:rPr>
                <w:b/>
                <w:bCs/>
                <w:sz w:val="23"/>
                <w:szCs w:val="23"/>
              </w:rPr>
              <w:t>Version</w:t>
            </w:r>
          </w:p>
        </w:tc>
        <w:tc>
          <w:tcPr>
            <w:tcW w:w="11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2186" w:rsidRDefault="00272186">
            <w:pPr>
              <w:pStyle w:val="Default"/>
              <w:jc w:val="center"/>
              <w:rPr>
                <w:sz w:val="23"/>
                <w:szCs w:val="23"/>
              </w:rPr>
            </w:pPr>
            <w:r>
              <w:rPr>
                <w:b/>
                <w:bCs/>
                <w:sz w:val="23"/>
                <w:szCs w:val="23"/>
              </w:rPr>
              <w:t>Date</w:t>
            </w:r>
          </w:p>
        </w:tc>
        <w:tc>
          <w:tcPr>
            <w:tcW w:w="63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2186" w:rsidRDefault="00272186">
            <w:pPr>
              <w:pStyle w:val="Default"/>
              <w:jc w:val="center"/>
              <w:rPr>
                <w:sz w:val="23"/>
                <w:szCs w:val="23"/>
              </w:rPr>
            </w:pPr>
            <w:r>
              <w:rPr>
                <w:b/>
                <w:bCs/>
                <w:sz w:val="23"/>
                <w:szCs w:val="23"/>
              </w:rPr>
              <w:t>Commentaire</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Janvier 2019</w:t>
            </w:r>
          </w:p>
          <w:p w:rsidR="00272186" w:rsidRDefault="00272186">
            <w:pPr>
              <w:pStyle w:val="Default"/>
              <w:jc w:val="center"/>
              <w:rPr>
                <w:color w:val="auto"/>
                <w:sz w:val="23"/>
                <w:szCs w:val="23"/>
              </w:rPr>
            </w:pPr>
            <w:r>
              <w:rPr>
                <w:color w:val="auto"/>
                <w:sz w:val="23"/>
                <w:szCs w:val="23"/>
              </w:rPr>
              <w:t>V 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2019-01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31/01/2019</w:t>
            </w:r>
          </w:p>
        </w:tc>
        <w:tc>
          <w:tcPr>
            <w:tcW w:w="6372" w:type="dxa"/>
            <w:tcBorders>
              <w:top w:val="single" w:sz="4" w:space="0" w:color="auto"/>
              <w:left w:val="single" w:sz="4" w:space="0" w:color="auto"/>
              <w:bottom w:val="single" w:sz="4" w:space="0" w:color="auto"/>
              <w:right w:val="single" w:sz="4" w:space="0" w:color="auto"/>
            </w:tcBorders>
          </w:tcPr>
          <w:p w:rsidR="00272186" w:rsidRDefault="00272186">
            <w:pPr>
              <w:pStyle w:val="Default"/>
              <w:spacing w:line="276" w:lineRule="auto"/>
              <w:rPr>
                <w:sz w:val="23"/>
                <w:szCs w:val="23"/>
              </w:rPr>
            </w:pPr>
          </w:p>
          <w:p w:rsidR="00272186" w:rsidRDefault="00272186">
            <w:pPr>
              <w:pStyle w:val="Default"/>
              <w:spacing w:line="276" w:lineRule="auto"/>
              <w:rPr>
                <w:sz w:val="23"/>
                <w:szCs w:val="23"/>
              </w:rPr>
            </w:pPr>
            <w:r>
              <w:rPr>
                <w:sz w:val="23"/>
                <w:szCs w:val="23"/>
              </w:rPr>
              <w:t xml:space="preserve">Initialisation de la note technique n° </w:t>
            </w:r>
            <w:r>
              <w:rPr>
                <w:color w:val="auto"/>
                <w:sz w:val="23"/>
                <w:szCs w:val="23"/>
              </w:rPr>
              <w:t>2019-01</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Décembre 2019</w:t>
            </w:r>
          </w:p>
          <w:p w:rsidR="00272186" w:rsidRDefault="00272186">
            <w:pPr>
              <w:pStyle w:val="Default"/>
              <w:jc w:val="center"/>
              <w:rPr>
                <w:color w:val="auto"/>
                <w:sz w:val="23"/>
                <w:szCs w:val="23"/>
              </w:rPr>
            </w:pPr>
            <w:r>
              <w:rPr>
                <w:color w:val="auto"/>
                <w:sz w:val="23"/>
                <w:szCs w:val="23"/>
              </w:rPr>
              <w:t>V 2.0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2019-01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31/12/2019</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Mises à jour pour les taxonomies Résolution de la campagne 2020</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Février 2020</w:t>
            </w:r>
          </w:p>
          <w:p w:rsidR="00272186" w:rsidRDefault="00272186">
            <w:pPr>
              <w:pStyle w:val="Default"/>
              <w:jc w:val="center"/>
              <w:rPr>
                <w:color w:val="auto"/>
                <w:sz w:val="23"/>
                <w:szCs w:val="23"/>
              </w:rPr>
            </w:pPr>
            <w:r>
              <w:rPr>
                <w:color w:val="auto"/>
                <w:sz w:val="23"/>
                <w:szCs w:val="23"/>
              </w:rPr>
              <w:t>V 2.1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2019-01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07/02/2020</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Mises jour des modalités de collecte pour le reporting RESREP-CFR</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Décembre 2020</w:t>
            </w:r>
          </w:p>
          <w:p w:rsidR="00272186" w:rsidRDefault="00272186">
            <w:pPr>
              <w:pStyle w:val="Default"/>
              <w:jc w:val="center"/>
              <w:rPr>
                <w:color w:val="auto"/>
                <w:sz w:val="23"/>
                <w:szCs w:val="23"/>
              </w:rPr>
            </w:pPr>
            <w:r>
              <w:rPr>
                <w:color w:val="auto"/>
                <w:sz w:val="23"/>
                <w:szCs w:val="23"/>
              </w:rPr>
              <w:t>V 2.2</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2020-01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02/12/2020</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Mises à jour pour les taxonomies Résolution de la campagne 2021</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Décembre 2021</w:t>
            </w:r>
          </w:p>
          <w:p w:rsidR="00272186" w:rsidRDefault="00272186">
            <w:pPr>
              <w:pStyle w:val="Default"/>
              <w:jc w:val="center"/>
              <w:rPr>
                <w:color w:val="auto"/>
                <w:sz w:val="23"/>
                <w:szCs w:val="23"/>
              </w:rPr>
            </w:pPr>
            <w:r>
              <w:rPr>
                <w:color w:val="auto"/>
                <w:sz w:val="23"/>
                <w:szCs w:val="23"/>
              </w:rPr>
              <w:t>V 2.3</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2021-01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02/12/2021</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Mises à jour pour les taxonomies Résolution de la campagne 2022</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Aout 2022</w:t>
            </w:r>
          </w:p>
          <w:p w:rsidR="00272186" w:rsidRDefault="00272186">
            <w:pPr>
              <w:pStyle w:val="Default"/>
              <w:jc w:val="center"/>
              <w:rPr>
                <w:color w:val="auto"/>
                <w:sz w:val="23"/>
                <w:szCs w:val="23"/>
              </w:rPr>
            </w:pPr>
            <w:r>
              <w:rPr>
                <w:color w:val="auto"/>
                <w:sz w:val="23"/>
                <w:szCs w:val="23"/>
              </w:rPr>
              <w:t>V 2.4</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2022-02</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16/08/2022</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Mises à jour pour la taxonomie FRU-FRN pour la campagne 2023</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6 Septembre 2022</w:t>
            </w:r>
          </w:p>
          <w:p w:rsidR="00272186" w:rsidRDefault="00272186">
            <w:pPr>
              <w:pStyle w:val="Default"/>
              <w:jc w:val="center"/>
              <w:rPr>
                <w:color w:val="auto"/>
                <w:sz w:val="23"/>
                <w:szCs w:val="23"/>
              </w:rPr>
            </w:pPr>
            <w:r>
              <w:rPr>
                <w:color w:val="auto"/>
                <w:sz w:val="23"/>
                <w:szCs w:val="23"/>
              </w:rPr>
              <w:t>V2.5</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2022-02</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06/09/2022</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 xml:space="preserve">Précision sur les </w:t>
            </w:r>
            <w:r>
              <w:rPr>
                <w:i/>
                <w:sz w:val="23"/>
                <w:szCs w:val="23"/>
              </w:rPr>
              <w:t>filing rules</w:t>
            </w:r>
            <w:r>
              <w:rPr>
                <w:sz w:val="23"/>
                <w:szCs w:val="23"/>
              </w:rPr>
              <w:t xml:space="preserve"> pour FRU-FRN 2023</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29/09/2022</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2022-03</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29/09/2022</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 à jour taxononmie RESREP 2023</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30/10/2023</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2023-01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2/10/2023</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 à jour taxonomie FRU-FRN 2024 et RESREP 2024</w:t>
            </w:r>
          </w:p>
        </w:tc>
      </w:tr>
      <w:tr w:rsidR="00272186" w:rsidTr="00E00B0F">
        <w:trPr>
          <w:trHeight w:val="919"/>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15/10/2024</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jc w:val="center"/>
              <w:rPr>
                <w:color w:val="auto"/>
                <w:sz w:val="23"/>
                <w:szCs w:val="23"/>
              </w:rPr>
            </w:pPr>
            <w:r>
              <w:rPr>
                <w:color w:val="auto"/>
                <w:sz w:val="23"/>
                <w:szCs w:val="23"/>
              </w:rPr>
              <w:t>NT 2024-01</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color w:val="auto"/>
                <w:sz w:val="18"/>
                <w:szCs w:val="18"/>
              </w:rPr>
            </w:pPr>
            <w:r>
              <w:rPr>
                <w:color w:val="auto"/>
                <w:sz w:val="18"/>
                <w:szCs w:val="18"/>
              </w:rPr>
              <w:t>17/10/2024</w:t>
            </w:r>
          </w:p>
        </w:tc>
        <w:tc>
          <w:tcPr>
            <w:tcW w:w="6372" w:type="dxa"/>
            <w:tcBorders>
              <w:top w:val="single" w:sz="4" w:space="0" w:color="auto"/>
              <w:left w:val="single" w:sz="4" w:space="0" w:color="auto"/>
              <w:bottom w:val="single" w:sz="4" w:space="0" w:color="auto"/>
              <w:right w:val="single" w:sz="4" w:space="0" w:color="auto"/>
            </w:tcBorders>
            <w:vAlign w:val="center"/>
            <w:hideMark/>
          </w:tcPr>
          <w:p w:rsidR="00272186" w:rsidRDefault="00272186">
            <w:pPr>
              <w:pStyle w:val="Default"/>
              <w:spacing w:line="276" w:lineRule="auto"/>
              <w:rPr>
                <w:sz w:val="23"/>
                <w:szCs w:val="23"/>
              </w:rPr>
            </w:pPr>
            <w:r>
              <w:rPr>
                <w:sz w:val="23"/>
                <w:szCs w:val="23"/>
              </w:rPr>
              <w:t>Mise à jour taxonomie FRU-FRN 2025 et RESREP 2025</w:t>
            </w:r>
          </w:p>
        </w:tc>
      </w:tr>
    </w:tbl>
    <w:p w:rsidR="00272186" w:rsidRDefault="00272186" w:rsidP="00272186"/>
    <w:p w:rsidR="00E00B0F" w:rsidRDefault="00E00B0F">
      <w:pPr>
        <w:spacing w:after="160" w:line="259" w:lineRule="auto"/>
      </w:pPr>
      <w:r>
        <w:br w:type="page"/>
      </w:r>
    </w:p>
    <w:p w:rsidR="00272186" w:rsidRDefault="00272186" w:rsidP="00272186">
      <w:pPr>
        <w:pStyle w:val="Titre1"/>
        <w:keepLines w:val="0"/>
        <w:numPr>
          <w:ilvl w:val="0"/>
          <w:numId w:val="1"/>
        </w:numPr>
        <w:spacing w:before="480" w:after="240"/>
        <w:ind w:left="805" w:hanging="448"/>
        <w:rPr>
          <w:rFonts w:ascii="Calibri" w:hAnsi="Calibri"/>
          <w:caps/>
          <w:sz w:val="28"/>
          <w:szCs w:val="28"/>
        </w:rPr>
      </w:pPr>
      <w:bookmarkStart w:id="1" w:name="_Toc149648045"/>
      <w:r>
        <w:rPr>
          <w:rFonts w:ascii="Calibri" w:hAnsi="Calibri"/>
          <w:caps/>
          <w:sz w:val="28"/>
          <w:szCs w:val="28"/>
        </w:rPr>
        <w:lastRenderedPageBreak/>
        <w:t>Présentation générale</w:t>
      </w:r>
      <w:bookmarkEnd w:id="1"/>
    </w:p>
    <w:p w:rsidR="00272186" w:rsidRDefault="00272186" w:rsidP="00272186">
      <w:pPr>
        <w:tabs>
          <w:tab w:val="left" w:pos="4678"/>
        </w:tabs>
        <w:jc w:val="both"/>
        <w:rPr>
          <w:i/>
          <w:szCs w:val="24"/>
        </w:rPr>
      </w:pPr>
      <w:r>
        <w:rPr>
          <w:i/>
          <w:szCs w:val="24"/>
        </w:rPr>
        <w:t xml:space="preserve">La présente note a vocation à présenter la </w:t>
      </w:r>
      <w:r>
        <w:rPr>
          <w:b/>
          <w:i/>
          <w:szCs w:val="24"/>
        </w:rPr>
        <w:t>taxonomie XBRL</w:t>
      </w:r>
      <w:r>
        <w:rPr>
          <w:i/>
          <w:szCs w:val="24"/>
        </w:rPr>
        <w:t xml:space="preserve"> pour les déclarations des données servant aux calculs des contributions au FRU et au FRN de 2025, de la taxonomie RESREP 2025 pour les collectes LDR, CFR, FMI, CIR ainsi que la taxonomie pour les collectes des MREL-TLAC et des notifications d’impraticabilité liées à l’article 55 de BRRD.</w:t>
      </w:r>
    </w:p>
    <w:p w:rsidR="00272186" w:rsidRPr="00E00B0F" w:rsidRDefault="00272186" w:rsidP="00272186">
      <w:pPr>
        <w:pStyle w:val="Titre2"/>
        <w:keepLines w:val="0"/>
        <w:numPr>
          <w:ilvl w:val="0"/>
          <w:numId w:val="2"/>
        </w:numPr>
        <w:spacing w:before="240" w:after="120"/>
        <w:rPr>
          <w:rFonts w:ascii="Times New Roman" w:hAnsi="Times New Roman"/>
          <w:b/>
          <w:color w:val="auto"/>
          <w:sz w:val="24"/>
          <w:szCs w:val="24"/>
          <w:u w:val="single"/>
        </w:rPr>
      </w:pPr>
      <w:bookmarkStart w:id="2" w:name="_Toc149648046"/>
      <w:r w:rsidRPr="00E00B0F">
        <w:rPr>
          <w:rFonts w:ascii="Times New Roman" w:hAnsi="Times New Roman"/>
          <w:b/>
          <w:color w:val="auto"/>
          <w:sz w:val="24"/>
          <w:szCs w:val="24"/>
          <w:u w:val="single"/>
        </w:rPr>
        <w:t>Collecte FRU-FRN</w:t>
      </w:r>
      <w:bookmarkEnd w:id="2"/>
    </w:p>
    <w:p w:rsidR="00272186" w:rsidRDefault="00272186" w:rsidP="00272186">
      <w:pPr>
        <w:tabs>
          <w:tab w:val="left" w:pos="4678"/>
        </w:tabs>
        <w:jc w:val="both"/>
        <w:rPr>
          <w:szCs w:val="24"/>
        </w:rPr>
      </w:pPr>
      <w:r>
        <w:rPr>
          <w:szCs w:val="24"/>
        </w:rPr>
        <w:t xml:space="preserve">A compter de la campagne 2023, le format XBRL est devenu le format OBLIGATOIRE de remise pour les établissements relevants du Fonds de Résolution National (FRN) ou du Fonds de Résolution Unique (FRU). De plus, nous vous rappelons que pour le FRU et le FRN, la collecte de la campagne 2025 </w:t>
      </w:r>
      <w:r>
        <w:rPr>
          <w:szCs w:val="24"/>
          <w:u w:val="single"/>
        </w:rPr>
        <w:t>débutera début novembre 2024 et se terminera le 15 décembre 2024.</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pPr>
      <w:r>
        <w:rPr>
          <w:rFonts w:ascii="Times New Roman" w:hAnsi="Times New Roman" w:cs="Times New Roman"/>
          <w:kern w:val="0"/>
          <w:sz w:val="24"/>
          <w:szCs w:val="24"/>
        </w:rPr>
        <w:t xml:space="preserve">Les assujettis peuvent s’appuyer sur les informations taxonomiques disponibles sur le site du CRU à cet emplacement : </w:t>
      </w:r>
      <w:hyperlink r:id="rId30" w:history="1">
        <w:r>
          <w:rPr>
            <w:rStyle w:val="Lienhypertexte"/>
            <w:rFonts w:eastAsiaTheme="majorEastAsia"/>
          </w:rPr>
          <w:t>2025 SRF</w:t>
        </w:r>
      </w:hyperlink>
      <w:r>
        <w:t xml:space="preserve"> </w:t>
      </w:r>
      <w:r>
        <w:rPr>
          <w:rFonts w:ascii="Times New Roman" w:hAnsi="Times New Roman" w:cs="Times New Roman"/>
          <w:sz w:val="24"/>
          <w:szCs w:val="24"/>
        </w:rPr>
        <w:t xml:space="preserve">et par l’ACPR sur </w:t>
      </w:r>
      <w:hyperlink r:id="rId31" w:history="1">
        <w:r>
          <w:rPr>
            <w:rStyle w:val="Lienhypertexte"/>
            <w:rFonts w:ascii="Times New Roman" w:eastAsiaTheme="majorEastAsia" w:hAnsi="Times New Roman" w:cs="Times New Roman"/>
            <w:sz w:val="24"/>
            <w:szCs w:val="24"/>
          </w:rPr>
          <w:t>eSurfi Banque</w:t>
        </w:r>
      </w:hyperlink>
      <w:r>
        <w:rPr>
          <w:rFonts w:ascii="Times New Roman" w:hAnsi="Times New Roman" w:cs="Times New Roman"/>
          <w:sz w:val="24"/>
          <w:szCs w:val="24"/>
        </w:rPr>
        <w:t>.</w:t>
      </w:r>
    </w:p>
    <w:p w:rsidR="00272186" w:rsidRDefault="00272186" w:rsidP="00272186">
      <w:pPr>
        <w:tabs>
          <w:tab w:val="left" w:pos="4678"/>
        </w:tabs>
        <w:jc w:val="both"/>
        <w:rPr>
          <w:szCs w:val="24"/>
        </w:rPr>
      </w:pPr>
    </w:p>
    <w:p w:rsidR="00272186" w:rsidRDefault="00272186" w:rsidP="00272186">
      <w:pPr>
        <w:tabs>
          <w:tab w:val="left" w:pos="4678"/>
        </w:tabs>
        <w:jc w:val="both"/>
        <w:rPr>
          <w:szCs w:val="24"/>
        </w:rPr>
      </w:pPr>
      <w:r>
        <w:rPr>
          <w:szCs w:val="24"/>
        </w:rPr>
        <w:t xml:space="preserve">Cas spécifique des demandes de corrections des contributions au FRU pour les campagnes précédentes : le format excel reste autorisé seulement pour les remises correctives des campagnes 2015 à 2022, appelées </w:t>
      </w:r>
      <w:r>
        <w:rPr>
          <w:i/>
          <w:szCs w:val="24"/>
        </w:rPr>
        <w:t>restatements,</w:t>
      </w:r>
      <w:r>
        <w:rPr>
          <w:szCs w:val="24"/>
        </w:rPr>
        <w:t xml:space="preserve"> pour les établissements relevant du FRU.</w:t>
      </w:r>
    </w:p>
    <w:p w:rsidR="00272186" w:rsidRDefault="00272186" w:rsidP="00272186">
      <w:pPr>
        <w:tabs>
          <w:tab w:val="left" w:pos="4678"/>
        </w:tabs>
        <w:jc w:val="both"/>
        <w:rPr>
          <w:szCs w:val="24"/>
        </w:rPr>
      </w:pPr>
    </w:p>
    <w:p w:rsidR="00272186" w:rsidRDefault="00272186" w:rsidP="00272186">
      <w:pPr>
        <w:tabs>
          <w:tab w:val="left" w:pos="4678"/>
        </w:tabs>
        <w:jc w:val="both"/>
        <w:rPr>
          <w:szCs w:val="24"/>
        </w:rPr>
      </w:pPr>
      <w:r>
        <w:rPr>
          <w:szCs w:val="24"/>
        </w:rPr>
        <w:t xml:space="preserve">Les </w:t>
      </w:r>
      <w:r>
        <w:rPr>
          <w:i/>
          <w:szCs w:val="24"/>
        </w:rPr>
        <w:t>restatements</w:t>
      </w:r>
      <w:r>
        <w:rPr>
          <w:szCs w:val="24"/>
        </w:rPr>
        <w:t xml:space="preserve"> des données à partir de la campagne 2023 devront être transmis obligatoirement au format XBRL.</w:t>
      </w:r>
    </w:p>
    <w:p w:rsidR="00272186" w:rsidRDefault="00272186" w:rsidP="00272186">
      <w:pPr>
        <w:tabs>
          <w:tab w:val="left" w:pos="4678"/>
        </w:tabs>
        <w:jc w:val="both"/>
        <w:rPr>
          <w:szCs w:val="24"/>
        </w:rPr>
      </w:pPr>
    </w:p>
    <w:p w:rsidR="00272186" w:rsidRDefault="00272186" w:rsidP="00272186">
      <w:pPr>
        <w:tabs>
          <w:tab w:val="left" w:pos="4678"/>
        </w:tabs>
        <w:jc w:val="both"/>
        <w:rPr>
          <w:szCs w:val="24"/>
        </w:rPr>
      </w:pPr>
      <w:r>
        <w:rPr>
          <w:szCs w:val="24"/>
        </w:rPr>
        <w:t xml:space="preserve">Toute demande de </w:t>
      </w:r>
      <w:r>
        <w:rPr>
          <w:i/>
          <w:szCs w:val="24"/>
        </w:rPr>
        <w:t>restatement</w:t>
      </w:r>
      <w:r>
        <w:rPr>
          <w:szCs w:val="24"/>
        </w:rPr>
        <w:t xml:space="preserve"> devra être transmise avant le 15 décembre 2024 et doit suivre la procédure en ligne sur e-surfi banque.</w:t>
      </w:r>
    </w:p>
    <w:p w:rsidR="00272186" w:rsidRDefault="00272186" w:rsidP="00272186">
      <w:pPr>
        <w:tabs>
          <w:tab w:val="left" w:pos="4678"/>
        </w:tabs>
        <w:jc w:val="both"/>
        <w:rPr>
          <w:szCs w:val="24"/>
        </w:rPr>
      </w:pPr>
    </w:p>
    <w:p w:rsidR="00272186" w:rsidRDefault="00272186" w:rsidP="00272186">
      <w:pPr>
        <w:pStyle w:val="CorpsTexte"/>
        <w:spacing w:before="0"/>
        <w:ind w:left="0"/>
        <w:rPr>
          <w:rFonts w:ascii="Times New Roman" w:hAnsi="Times New Roman" w:cs="Times New Roman"/>
          <w:b/>
          <w:kern w:val="0"/>
          <w:sz w:val="24"/>
          <w:szCs w:val="24"/>
          <w:u w:val="single"/>
        </w:rPr>
      </w:pPr>
    </w:p>
    <w:p w:rsidR="00272186" w:rsidRDefault="00272186" w:rsidP="00272186">
      <w:pPr>
        <w:pStyle w:val="CorpsTexte"/>
        <w:numPr>
          <w:ilvl w:val="0"/>
          <w:numId w:val="2"/>
        </w:numPr>
        <w:spacing w:before="0" w:after="120"/>
        <w:ind w:left="1077" w:hanging="357"/>
        <w:outlineLvl w:val="1"/>
        <w:rPr>
          <w:rFonts w:ascii="Times New Roman" w:hAnsi="Times New Roman" w:cs="Times New Roman"/>
          <w:b/>
          <w:kern w:val="0"/>
          <w:sz w:val="24"/>
          <w:szCs w:val="24"/>
          <w:u w:val="single"/>
        </w:rPr>
      </w:pPr>
      <w:bookmarkStart w:id="3" w:name="_Toc149648047"/>
      <w:r>
        <w:rPr>
          <w:rFonts w:ascii="Times New Roman" w:hAnsi="Times New Roman" w:cs="Times New Roman"/>
          <w:b/>
          <w:kern w:val="0"/>
          <w:sz w:val="24"/>
          <w:szCs w:val="24"/>
          <w:u w:val="single"/>
        </w:rPr>
        <w:t>Collecte RESREP</w:t>
      </w:r>
      <w:bookmarkEnd w:id="3"/>
    </w:p>
    <w:p w:rsidR="00272186" w:rsidRDefault="00272186" w:rsidP="00272186">
      <w:pPr>
        <w:pStyle w:val="CorpsTexte"/>
        <w:numPr>
          <w:ilvl w:val="0"/>
          <w:numId w:val="3"/>
        </w:numPr>
        <w:spacing w:before="0"/>
        <w:rPr>
          <w:rFonts w:ascii="Times New Roman" w:hAnsi="Times New Roman" w:cs="Times New Roman"/>
          <w:kern w:val="0"/>
          <w:sz w:val="24"/>
          <w:szCs w:val="24"/>
          <w:u w:val="single"/>
        </w:rPr>
      </w:pPr>
      <w:r>
        <w:rPr>
          <w:rFonts w:ascii="Times New Roman" w:hAnsi="Times New Roman" w:cs="Times New Roman"/>
          <w:kern w:val="0"/>
          <w:sz w:val="24"/>
          <w:szCs w:val="24"/>
          <w:u w:val="single"/>
        </w:rPr>
        <w:t>LDR, CFR, FMI et CIR</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Le CRU collecte des données pour établir les plans de résolution en adaptant la taxonomie de l’EBA pour y intégrer des règles de validation supplémentaires.</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 xml:space="preserve">Dans les règles de validations publiées sur le </w:t>
      </w:r>
      <w:hyperlink r:id="rId32" w:history="1">
        <w:r>
          <w:rPr>
            <w:rStyle w:val="Lienhypertexte"/>
            <w:rFonts w:eastAsiaTheme="majorEastAsia"/>
          </w:rPr>
          <w:t>site du CRU</w:t>
        </w:r>
      </w:hyperlink>
      <w:r>
        <w:rPr>
          <w:rFonts w:ascii="Times New Roman" w:hAnsi="Times New Roman" w:cs="Times New Roman"/>
          <w:kern w:val="0"/>
          <w:sz w:val="24"/>
          <w:szCs w:val="24"/>
        </w:rPr>
        <w:t xml:space="preserve"> (</w:t>
      </w:r>
      <w:r>
        <w:rPr>
          <w:rFonts w:ascii="Times New Roman" w:hAnsi="Times New Roman" w:cs="Times New Roman"/>
          <w:i/>
          <w:kern w:val="0"/>
          <w:sz w:val="24"/>
          <w:szCs w:val="24"/>
        </w:rPr>
        <w:t>cf.</w:t>
      </w:r>
      <w:r>
        <w:rPr>
          <w:rFonts w:ascii="Times New Roman" w:hAnsi="Times New Roman" w:cs="Times New Roman"/>
          <w:kern w:val="0"/>
          <w:sz w:val="24"/>
          <w:szCs w:val="24"/>
        </w:rPr>
        <w:t xml:space="preserve"> tableau ResRep2025_Validation_Rules v6.0), les règles ajoutées par le CRU apparaissent en bleu et celles de l’EBA sont en jaune.</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Les dates limites pour les dépôts sont les suivantes :</w:t>
      </w:r>
    </w:p>
    <w:p w:rsidR="00272186" w:rsidRDefault="00272186" w:rsidP="00272186">
      <w:pPr>
        <w:pStyle w:val="CorpsTexte"/>
        <w:spacing w:before="0"/>
        <w:ind w:left="0"/>
        <w:rPr>
          <w:rFonts w:ascii="Times New Roman" w:hAnsi="Times New Roman" w:cs="Times New Roman"/>
          <w:kern w:val="0"/>
          <w:sz w:val="24"/>
          <w:szCs w:val="24"/>
        </w:rPr>
      </w:pPr>
    </w:p>
    <w:tbl>
      <w:tblPr>
        <w:tblW w:w="6936" w:type="dxa"/>
        <w:tblCellMar>
          <w:left w:w="0" w:type="dxa"/>
          <w:right w:w="0" w:type="dxa"/>
        </w:tblCellMar>
        <w:tblLook w:val="04A0" w:firstRow="1" w:lastRow="0" w:firstColumn="1" w:lastColumn="0" w:noHBand="0" w:noVBand="1"/>
      </w:tblPr>
      <w:tblGrid>
        <w:gridCol w:w="4954"/>
        <w:gridCol w:w="1982"/>
      </w:tblGrid>
      <w:tr w:rsidR="00272186" w:rsidTr="00272186">
        <w:tc>
          <w:tcPr>
            <w:tcW w:w="4954" w:type="dxa"/>
            <w:tcBorders>
              <w:top w:val="single" w:sz="8" w:space="0" w:color="FFFFFF"/>
              <w:left w:val="single" w:sz="8" w:space="0" w:color="FFFFFF"/>
              <w:bottom w:val="single" w:sz="24" w:space="0" w:color="FFFFFF"/>
              <w:right w:val="single" w:sz="8" w:space="0" w:color="FFFFFF"/>
            </w:tcBorders>
            <w:shd w:val="clear" w:color="auto" w:fill="5E93DB"/>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b/>
                <w:bCs/>
                <w:color w:val="FFFFFF"/>
                <w:sz w:val="20"/>
                <w:lang w:eastAsia="en-GB"/>
              </w:rPr>
              <w:t>Report</w:t>
            </w:r>
          </w:p>
        </w:tc>
        <w:tc>
          <w:tcPr>
            <w:tcW w:w="1982" w:type="dxa"/>
            <w:tcBorders>
              <w:top w:val="single" w:sz="8" w:space="0" w:color="FFFFFF"/>
              <w:left w:val="nil"/>
              <w:bottom w:val="single" w:sz="24" w:space="0" w:color="FFFFFF"/>
              <w:right w:val="single" w:sz="8" w:space="0" w:color="FFFFFF"/>
            </w:tcBorders>
            <w:shd w:val="clear" w:color="auto" w:fill="5E93DB"/>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b/>
                <w:bCs/>
                <w:color w:val="FFFFFF"/>
                <w:sz w:val="20"/>
                <w:lang w:eastAsia="en-GB"/>
              </w:rPr>
              <w:t>Bank submission deadline</w:t>
            </w:r>
          </w:p>
        </w:tc>
      </w:tr>
      <w:tr w:rsidR="00272186" w:rsidTr="00272186">
        <w:tc>
          <w:tcPr>
            <w:tcW w:w="4954" w:type="dxa"/>
            <w:tcBorders>
              <w:top w:val="nil"/>
              <w:left w:val="single" w:sz="8" w:space="0" w:color="FFFFFF"/>
              <w:bottom w:val="single" w:sz="8" w:space="0" w:color="FFFFFF"/>
              <w:right w:val="single" w:sz="8" w:space="0" w:color="FFFFFF"/>
            </w:tcBorders>
            <w:shd w:val="clear" w:color="auto" w:fill="5E93DB"/>
            <w:tcMar>
              <w:top w:w="15" w:type="dxa"/>
              <w:left w:w="108" w:type="dxa"/>
              <w:bottom w:w="0" w:type="dxa"/>
              <w:right w:w="108" w:type="dxa"/>
            </w:tcMar>
            <w:hideMark/>
          </w:tcPr>
          <w:p w:rsidR="00272186" w:rsidRDefault="00272186">
            <w:pPr>
              <w:rPr>
                <w:rFonts w:ascii="Arial" w:eastAsia="Calibri" w:hAnsi="Arial" w:cs="Arial"/>
                <w:sz w:val="20"/>
                <w:lang w:val="en-US" w:eastAsia="en-GB"/>
              </w:rPr>
            </w:pPr>
            <w:r>
              <w:rPr>
                <w:rFonts w:ascii="Arial" w:eastAsia="Calibri" w:hAnsi="Arial" w:cs="Arial"/>
                <w:color w:val="FFFFFF"/>
                <w:sz w:val="20"/>
                <w:lang w:val="en-US" w:eastAsia="en-GB"/>
              </w:rPr>
              <w:t>Liability Data Report (LDR) &amp; ALR</w:t>
            </w:r>
          </w:p>
        </w:tc>
        <w:tc>
          <w:tcPr>
            <w:tcW w:w="1982" w:type="dxa"/>
            <w:tcBorders>
              <w:top w:val="nil"/>
              <w:left w:val="nil"/>
              <w:bottom w:val="single" w:sz="8" w:space="0" w:color="FFFFFF"/>
              <w:right w:val="single" w:sz="8" w:space="0" w:color="FFFFFF"/>
            </w:tcBorders>
            <w:shd w:val="clear" w:color="auto" w:fill="D2DCF1"/>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sz w:val="20"/>
                <w:lang w:eastAsia="en-GB"/>
              </w:rPr>
              <w:t>31 March 2025</w:t>
            </w:r>
          </w:p>
        </w:tc>
      </w:tr>
      <w:tr w:rsidR="00272186" w:rsidTr="00272186">
        <w:tc>
          <w:tcPr>
            <w:tcW w:w="4954" w:type="dxa"/>
            <w:tcBorders>
              <w:top w:val="nil"/>
              <w:left w:val="single" w:sz="8" w:space="0" w:color="FFFFFF"/>
              <w:bottom w:val="single" w:sz="8" w:space="0" w:color="FFFFFF"/>
              <w:right w:val="single" w:sz="8" w:space="0" w:color="FFFFFF"/>
            </w:tcBorders>
            <w:shd w:val="clear" w:color="auto" w:fill="5E93DB"/>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color w:val="FFFFFF"/>
                <w:sz w:val="20"/>
                <w:lang w:eastAsia="en-GB"/>
              </w:rPr>
              <w:t>Critical Functions Report (CFR)</w:t>
            </w:r>
          </w:p>
        </w:tc>
        <w:tc>
          <w:tcPr>
            <w:tcW w:w="1982" w:type="dxa"/>
            <w:tcBorders>
              <w:top w:val="nil"/>
              <w:left w:val="nil"/>
              <w:bottom w:val="single" w:sz="8" w:space="0" w:color="FFFFFF"/>
              <w:right w:val="single" w:sz="8" w:space="0" w:color="FFFFFF"/>
            </w:tcBorders>
            <w:shd w:val="clear" w:color="auto" w:fill="EAEEF8"/>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sz w:val="20"/>
                <w:lang w:eastAsia="en-GB"/>
              </w:rPr>
              <w:t>30 April 2025</w:t>
            </w:r>
          </w:p>
        </w:tc>
      </w:tr>
      <w:tr w:rsidR="00272186" w:rsidTr="00272186">
        <w:tc>
          <w:tcPr>
            <w:tcW w:w="4954" w:type="dxa"/>
            <w:tcBorders>
              <w:top w:val="nil"/>
              <w:left w:val="single" w:sz="8" w:space="0" w:color="FFFFFF"/>
              <w:bottom w:val="single" w:sz="8" w:space="0" w:color="FFFFFF"/>
              <w:right w:val="single" w:sz="8" w:space="0" w:color="FFFFFF"/>
            </w:tcBorders>
            <w:shd w:val="clear" w:color="auto" w:fill="5E93DB"/>
            <w:tcMar>
              <w:top w:w="15" w:type="dxa"/>
              <w:left w:w="108" w:type="dxa"/>
              <w:bottom w:w="0" w:type="dxa"/>
              <w:right w:w="108" w:type="dxa"/>
            </w:tcMar>
            <w:hideMark/>
          </w:tcPr>
          <w:p w:rsidR="00272186" w:rsidRDefault="00272186">
            <w:pPr>
              <w:rPr>
                <w:rFonts w:ascii="Arial" w:eastAsia="Calibri" w:hAnsi="Arial" w:cs="Arial"/>
                <w:sz w:val="20"/>
                <w:lang w:val="fr-BE" w:eastAsia="en-GB"/>
              </w:rPr>
            </w:pPr>
            <w:r>
              <w:rPr>
                <w:rFonts w:ascii="Arial" w:eastAsia="Calibri" w:hAnsi="Arial" w:cs="Arial"/>
                <w:color w:val="FFFFFF"/>
                <w:sz w:val="20"/>
                <w:lang w:val="fr-BE" w:eastAsia="en-GB"/>
              </w:rPr>
              <w:t>Financial Market Infrastructures Report (FMIR)</w:t>
            </w:r>
          </w:p>
        </w:tc>
        <w:tc>
          <w:tcPr>
            <w:tcW w:w="1982" w:type="dxa"/>
            <w:tcBorders>
              <w:top w:val="nil"/>
              <w:left w:val="nil"/>
              <w:bottom w:val="single" w:sz="8" w:space="0" w:color="FFFFFF"/>
              <w:right w:val="single" w:sz="8" w:space="0" w:color="FFFFFF"/>
            </w:tcBorders>
            <w:shd w:val="clear" w:color="auto" w:fill="D2DCF1"/>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sz w:val="20"/>
                <w:lang w:eastAsia="en-GB"/>
              </w:rPr>
              <w:t>30 April 2025</w:t>
            </w:r>
          </w:p>
        </w:tc>
      </w:tr>
      <w:tr w:rsidR="00272186" w:rsidTr="00272186">
        <w:tc>
          <w:tcPr>
            <w:tcW w:w="4954" w:type="dxa"/>
            <w:tcBorders>
              <w:top w:val="nil"/>
              <w:left w:val="single" w:sz="8" w:space="0" w:color="FFFFFF"/>
              <w:bottom w:val="single" w:sz="8" w:space="0" w:color="FFFFFF"/>
              <w:right w:val="single" w:sz="8" w:space="0" w:color="FFFFFF"/>
            </w:tcBorders>
            <w:shd w:val="clear" w:color="auto" w:fill="5E93DB"/>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color w:val="FFFFFF"/>
                <w:sz w:val="20"/>
                <w:lang w:eastAsia="en-GB"/>
              </w:rPr>
              <w:t>Other EBA reports (CIR)</w:t>
            </w:r>
          </w:p>
        </w:tc>
        <w:tc>
          <w:tcPr>
            <w:tcW w:w="1982" w:type="dxa"/>
            <w:tcBorders>
              <w:top w:val="nil"/>
              <w:left w:val="nil"/>
              <w:bottom w:val="single" w:sz="8" w:space="0" w:color="FFFFFF"/>
              <w:right w:val="single" w:sz="8" w:space="0" w:color="FFFFFF"/>
            </w:tcBorders>
            <w:shd w:val="clear" w:color="auto" w:fill="EAEEF8"/>
            <w:tcMar>
              <w:top w:w="15" w:type="dxa"/>
              <w:left w:w="108" w:type="dxa"/>
              <w:bottom w:w="0" w:type="dxa"/>
              <w:right w:w="108" w:type="dxa"/>
            </w:tcMar>
            <w:hideMark/>
          </w:tcPr>
          <w:p w:rsidR="00272186" w:rsidRDefault="00272186">
            <w:pPr>
              <w:rPr>
                <w:rFonts w:ascii="Arial" w:eastAsia="Calibri" w:hAnsi="Arial" w:cs="Arial"/>
                <w:sz w:val="20"/>
                <w:lang w:eastAsia="en-GB"/>
              </w:rPr>
            </w:pPr>
            <w:r>
              <w:rPr>
                <w:rFonts w:ascii="Arial" w:eastAsia="Calibri" w:hAnsi="Arial" w:cs="Arial"/>
                <w:sz w:val="20"/>
                <w:lang w:eastAsia="en-GB"/>
              </w:rPr>
              <w:t>30 April 2025</w:t>
            </w:r>
          </w:p>
        </w:tc>
      </w:tr>
    </w:tbl>
    <w:p w:rsidR="00272186" w:rsidRDefault="00272186" w:rsidP="00272186">
      <w:pPr>
        <w:pStyle w:val="CorpsTexte"/>
        <w:spacing w:before="0"/>
        <w:ind w:left="0"/>
        <w:jc w:val="center"/>
        <w:rPr>
          <w:rFonts w:ascii="Times New Roman" w:hAnsi="Times New Roman" w:cs="Times New Roman"/>
          <w:kern w:val="0"/>
          <w:sz w:val="24"/>
          <w:szCs w:val="24"/>
        </w:rPr>
      </w:pPr>
    </w:p>
    <w:p w:rsidR="00272186" w:rsidRDefault="00272186" w:rsidP="00272186">
      <w:pPr>
        <w:pStyle w:val="CorpsTexte"/>
        <w:numPr>
          <w:ilvl w:val="0"/>
          <w:numId w:val="3"/>
        </w:numPr>
        <w:spacing w:before="0"/>
        <w:rPr>
          <w:rFonts w:ascii="Times New Roman" w:hAnsi="Times New Roman" w:cs="Times New Roman"/>
          <w:kern w:val="0"/>
          <w:sz w:val="24"/>
          <w:szCs w:val="24"/>
          <w:u w:val="single"/>
        </w:rPr>
      </w:pPr>
      <w:r>
        <w:rPr>
          <w:rFonts w:ascii="Times New Roman" w:hAnsi="Times New Roman" w:cs="Times New Roman"/>
          <w:kern w:val="0"/>
          <w:sz w:val="24"/>
          <w:szCs w:val="24"/>
          <w:u w:val="single"/>
        </w:rPr>
        <w:t>Notification de l’autorité de résolution liée à l’article 55 de BRRD</w:t>
      </w:r>
    </w:p>
    <w:p w:rsidR="00272186" w:rsidRDefault="00272186" w:rsidP="00272186">
      <w:pPr>
        <w:pStyle w:val="CorpsTexte"/>
        <w:spacing w:before="0"/>
        <w:ind w:left="72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lastRenderedPageBreak/>
        <w:t>Par ailleurs, le CRU collecte également en XBRL les déclarations par les établissements des passifs sous régime de pays tiers pour lesquels la clause de reconnnaissance du bail-in n’a pas été incluse (</w:t>
      </w:r>
      <w:r>
        <w:rPr>
          <w:rFonts w:ascii="Times New Roman" w:hAnsi="Times New Roman" w:cs="Times New Roman"/>
          <w:b/>
          <w:kern w:val="0"/>
          <w:sz w:val="24"/>
          <w:szCs w:val="24"/>
        </w:rPr>
        <w:t>Impraticabilité de l’art 55 de BRRD</w:t>
      </w:r>
      <w:r>
        <w:rPr>
          <w:rFonts w:ascii="Times New Roman" w:hAnsi="Times New Roman" w:cs="Times New Roman"/>
          <w:kern w:val="0"/>
          <w:sz w:val="24"/>
          <w:szCs w:val="24"/>
        </w:rPr>
        <w:t xml:space="preserve">). La </w:t>
      </w:r>
      <w:hyperlink r:id="rId33" w:history="1">
        <w:r>
          <w:rPr>
            <w:rStyle w:val="Lienhypertexte"/>
            <w:rFonts w:ascii="Times New Roman" w:eastAsiaTheme="majorEastAsia" w:hAnsi="Times New Roman" w:cs="Times New Roman"/>
            <w:kern w:val="0"/>
            <w:sz w:val="24"/>
            <w:szCs w:val="24"/>
          </w:rPr>
          <w:t>taxonomie dédiée est publiée sur le site du CRU</w:t>
        </w:r>
      </w:hyperlink>
      <w:r>
        <w:rPr>
          <w:rFonts w:ascii="Times New Roman" w:hAnsi="Times New Roman" w:cs="Times New Roman"/>
          <w:kern w:val="0"/>
          <w:sz w:val="24"/>
          <w:szCs w:val="24"/>
        </w:rPr>
        <w:t>.</w:t>
      </w:r>
    </w:p>
    <w:p w:rsidR="00272186" w:rsidRDefault="00272186" w:rsidP="00272186">
      <w:pPr>
        <w:pStyle w:val="CorpsTexte"/>
        <w:spacing w:before="0" w:after="120"/>
        <w:ind w:left="0"/>
        <w:rPr>
          <w:rFonts w:ascii="Times New Roman" w:hAnsi="Times New Roman" w:cs="Times New Roman"/>
          <w:kern w:val="0"/>
          <w:sz w:val="24"/>
          <w:szCs w:val="24"/>
        </w:rPr>
      </w:pPr>
      <w:r>
        <w:rPr>
          <w:rFonts w:ascii="Times New Roman" w:hAnsi="Times New Roman" w:cs="Times New Roman"/>
          <w:kern w:val="0"/>
          <w:sz w:val="24"/>
          <w:szCs w:val="24"/>
        </w:rPr>
        <w:t>Cette collecte est possible tout au long de l’année.</w:t>
      </w:r>
    </w:p>
    <w:p w:rsidR="00272186" w:rsidRDefault="00272186" w:rsidP="00272186">
      <w:pPr>
        <w:pStyle w:val="CorpsTexte"/>
        <w:numPr>
          <w:ilvl w:val="0"/>
          <w:numId w:val="3"/>
        </w:numPr>
        <w:spacing w:before="0"/>
        <w:rPr>
          <w:rFonts w:ascii="Times New Roman" w:hAnsi="Times New Roman" w:cs="Times New Roman"/>
          <w:kern w:val="0"/>
          <w:sz w:val="24"/>
          <w:szCs w:val="24"/>
          <w:u w:val="single"/>
        </w:rPr>
      </w:pPr>
      <w:r>
        <w:rPr>
          <w:rFonts w:ascii="Times New Roman" w:hAnsi="Times New Roman" w:cs="Times New Roman"/>
          <w:kern w:val="0"/>
          <w:sz w:val="24"/>
          <w:szCs w:val="24"/>
          <w:u w:val="single"/>
        </w:rPr>
        <w:t>Déclaration du respect des exigences de fonds propres (MREL-TLAC)</w:t>
      </w:r>
    </w:p>
    <w:p w:rsidR="00272186" w:rsidRDefault="00272186" w:rsidP="00272186">
      <w:pPr>
        <w:pStyle w:val="CorpsTexte"/>
        <w:spacing w:before="0"/>
        <w:ind w:left="0"/>
        <w:rPr>
          <w:rFonts w:ascii="Times New Roman" w:hAnsi="Times New Roman" w:cs="Times New Roman"/>
          <w:kern w:val="0"/>
          <w:sz w:val="24"/>
          <w:szCs w:val="24"/>
        </w:rPr>
      </w:pPr>
    </w:p>
    <w:p w:rsidR="00511DF0"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 xml:space="preserve">Le CRU collecte également pour le compte de l’EBA le </w:t>
      </w:r>
      <w:r>
        <w:rPr>
          <w:rFonts w:ascii="Times New Roman" w:hAnsi="Times New Roman" w:cs="Times New Roman"/>
          <w:b/>
          <w:kern w:val="0"/>
          <w:sz w:val="24"/>
          <w:szCs w:val="24"/>
        </w:rPr>
        <w:t>MREL-TLAC</w:t>
      </w:r>
      <w:r>
        <w:rPr>
          <w:rFonts w:ascii="Times New Roman" w:hAnsi="Times New Roman" w:cs="Times New Roman"/>
          <w:kern w:val="0"/>
          <w:sz w:val="24"/>
          <w:szCs w:val="24"/>
        </w:rPr>
        <w:t xml:space="preserve"> en application du règlement d’éxécution 2021/763/UE du 23/04/2021. Dans ce cas, seule la </w:t>
      </w:r>
      <w:r w:rsidRPr="00272186">
        <w:rPr>
          <w:rFonts w:eastAsiaTheme="majorEastAsia"/>
        </w:rPr>
        <w:t>taxonomie de l'EBA</w:t>
      </w:r>
      <w:r>
        <w:t xml:space="preserve"> </w:t>
      </w:r>
      <w:r w:rsidR="00511DF0">
        <w:rPr>
          <w:rFonts w:ascii="Times New Roman" w:hAnsi="Times New Roman" w:cs="Times New Roman"/>
          <w:kern w:val="0"/>
          <w:sz w:val="24"/>
          <w:szCs w:val="24"/>
        </w:rPr>
        <w:t xml:space="preserve">est à utiliser. </w:t>
      </w: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 xml:space="preserve">Jusqu’à fin 2024, il conviendra d’utiliser </w:t>
      </w:r>
      <w:r>
        <w:rPr>
          <w:rStyle w:val="Lienhypertexte"/>
          <w:rFonts w:eastAsiaTheme="majorEastAsia"/>
        </w:rPr>
        <w:t xml:space="preserve">cette </w:t>
      </w:r>
      <w:hyperlink r:id="rId34" w:history="1">
        <w:r>
          <w:rPr>
            <w:rStyle w:val="Lienhypertexte"/>
            <w:rFonts w:eastAsiaTheme="majorEastAsia"/>
          </w:rPr>
          <w:t>taxonomie de l'EBA</w:t>
        </w:r>
      </w:hyperlink>
      <w:r>
        <w:rPr>
          <w:rFonts w:ascii="Times New Roman" w:hAnsi="Times New Roman" w:cs="Times New Roman"/>
          <w:kern w:val="0"/>
          <w:sz w:val="24"/>
          <w:szCs w:val="24"/>
        </w:rPr>
        <w:t xml:space="preserve">. </w:t>
      </w:r>
    </w:p>
    <w:p w:rsidR="00272186" w:rsidRDefault="00511DF0"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À</w:t>
      </w:r>
      <w:r w:rsidR="00272186">
        <w:rPr>
          <w:rFonts w:ascii="Times New Roman" w:hAnsi="Times New Roman" w:cs="Times New Roman"/>
          <w:kern w:val="0"/>
          <w:sz w:val="24"/>
          <w:szCs w:val="24"/>
        </w:rPr>
        <w:t xml:space="preserve"> partir de 2025, il conviendra d’utiliser </w:t>
      </w:r>
      <w:hyperlink r:id="rId35" w:history="1">
        <w:r w:rsidR="00272186">
          <w:rPr>
            <w:rStyle w:val="Lienhypertexte"/>
            <w:rFonts w:eastAsiaTheme="majorEastAsia"/>
          </w:rPr>
          <w:t>cette taxonomie</w:t>
        </w:r>
      </w:hyperlink>
      <w:r w:rsidR="00272186">
        <w:rPr>
          <w:rFonts w:ascii="Times New Roman" w:hAnsi="Times New Roman" w:cs="Times New Roman"/>
          <w:kern w:val="0"/>
          <w:sz w:val="24"/>
          <w:szCs w:val="24"/>
        </w:rPr>
        <w:t>.</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numPr>
          <w:ilvl w:val="0"/>
          <w:numId w:val="2"/>
        </w:numPr>
        <w:spacing w:before="0" w:after="120"/>
        <w:ind w:left="1077" w:hanging="357"/>
        <w:outlineLvl w:val="1"/>
        <w:rPr>
          <w:rFonts w:ascii="Times New Roman" w:hAnsi="Times New Roman" w:cs="Times New Roman"/>
          <w:b/>
          <w:kern w:val="0"/>
          <w:sz w:val="24"/>
          <w:szCs w:val="24"/>
          <w:u w:val="single"/>
        </w:rPr>
      </w:pPr>
      <w:bookmarkStart w:id="4" w:name="_Toc149648048"/>
      <w:r>
        <w:rPr>
          <w:rFonts w:ascii="Times New Roman" w:hAnsi="Times New Roman" w:cs="Times New Roman"/>
          <w:b/>
          <w:kern w:val="0"/>
          <w:sz w:val="24"/>
          <w:szCs w:val="24"/>
          <w:u w:val="single"/>
        </w:rPr>
        <w:t>Détail des attendus</w:t>
      </w:r>
      <w:bookmarkEnd w:id="4"/>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 xml:space="preserve">L’ACPR met à disposition de chaque assujetti, par échéance, la liste détaillée des états attendus dans son système d’information (carte de visite). </w:t>
      </w:r>
    </w:p>
    <w:p w:rsidR="00272186" w:rsidRDefault="00272186" w:rsidP="00272186">
      <w:pPr>
        <w:tabs>
          <w:tab w:val="left" w:pos="4678"/>
        </w:tabs>
        <w:jc w:val="both"/>
        <w:rPr>
          <w:i/>
          <w:szCs w:val="24"/>
        </w:rPr>
      </w:pPr>
      <w:r>
        <w:rPr>
          <w:szCs w:val="24"/>
        </w:rPr>
        <w:t>Ce document correspond aux détails des attendus REGAR, disponible sur le portail ONEGATE (Menu SUIVI, Sous-menu : Documents dans le domaine FDE)</w:t>
      </w:r>
      <w:r>
        <w:rPr>
          <w:i/>
          <w:szCs w:val="24"/>
        </w:rPr>
        <w:t>.</w:t>
      </w:r>
    </w:p>
    <w:p w:rsidR="00272186" w:rsidRDefault="00272186" w:rsidP="00272186">
      <w:pPr>
        <w:tabs>
          <w:tab w:val="left" w:pos="4678"/>
        </w:tabs>
        <w:jc w:val="both"/>
        <w:rPr>
          <w:i/>
          <w:szCs w:val="24"/>
        </w:rPr>
      </w:pPr>
    </w:p>
    <w:p w:rsidR="00272186" w:rsidRDefault="00272186" w:rsidP="00272186">
      <w:pPr>
        <w:tabs>
          <w:tab w:val="left" w:pos="4678"/>
        </w:tabs>
        <w:jc w:val="both"/>
        <w:rPr>
          <w:szCs w:val="24"/>
        </w:rPr>
      </w:pPr>
      <w:r>
        <w:rPr>
          <w:szCs w:val="24"/>
        </w:rPr>
        <w:t>Ce détail des attendus est actualisé à chaque ouverture de collecte pour une campagne et à chaque mise à jour. Vous pourriez donc en recevoir plusieurs pour une même campagne, nous vous prions de bien vouloir consulter régulièrement cette rubrique afin d’être informés des attendus pour votre établissement.</w:t>
      </w:r>
    </w:p>
    <w:p w:rsidR="00272186" w:rsidRDefault="00272186" w:rsidP="00272186">
      <w:pPr>
        <w:tabs>
          <w:tab w:val="left" w:pos="4678"/>
        </w:tabs>
        <w:jc w:val="both"/>
        <w:rPr>
          <w:szCs w:val="24"/>
        </w:rPr>
      </w:pPr>
      <w:r>
        <w:rPr>
          <w:szCs w:val="24"/>
        </w:rPr>
        <w:t>Depuis la campagne 2024 le détail des attendus est enrichi. Pour chaque collecte, de la date de réception de la dernière remise reçue et de son statut (valide, anomalies constatés, invalide) si une remise a déjà été traitée lors de l’émission d’une nouvelle carte de visite (pas de réémission de la carte de visite à réception d’une remise, le CRC (compte-rendu de collecte) est toujours remis après chaque dépôt).</w:t>
      </w:r>
    </w:p>
    <w:p w:rsidR="00272186" w:rsidRDefault="00272186" w:rsidP="00272186">
      <w:pPr>
        <w:tabs>
          <w:tab w:val="left" w:pos="4678"/>
        </w:tabs>
        <w:jc w:val="both"/>
        <w:rPr>
          <w:i/>
          <w:szCs w:val="24"/>
        </w:rPr>
      </w:pPr>
    </w:p>
    <w:p w:rsidR="00272186" w:rsidRDefault="00272186" w:rsidP="00272186">
      <w:pPr>
        <w:pStyle w:val="CorpsTexte"/>
        <w:numPr>
          <w:ilvl w:val="0"/>
          <w:numId w:val="2"/>
        </w:numPr>
        <w:spacing w:before="0" w:after="120"/>
        <w:ind w:left="1077" w:hanging="357"/>
        <w:outlineLvl w:val="1"/>
        <w:rPr>
          <w:rFonts w:ascii="Times New Roman" w:hAnsi="Times New Roman" w:cs="Times New Roman"/>
          <w:b/>
          <w:kern w:val="0"/>
          <w:sz w:val="24"/>
          <w:szCs w:val="24"/>
          <w:u w:val="single"/>
        </w:rPr>
      </w:pPr>
      <w:bookmarkStart w:id="5" w:name="_Toc149648049"/>
      <w:r>
        <w:rPr>
          <w:rFonts w:ascii="Times New Roman" w:hAnsi="Times New Roman" w:cs="Times New Roman"/>
          <w:b/>
          <w:kern w:val="0"/>
          <w:sz w:val="24"/>
          <w:szCs w:val="24"/>
          <w:u w:val="single"/>
        </w:rPr>
        <w:t>Règle générale de remise en XBRL</w:t>
      </w:r>
      <w:bookmarkEnd w:id="5"/>
    </w:p>
    <w:p w:rsidR="00272186" w:rsidRDefault="00272186" w:rsidP="00272186">
      <w:pPr>
        <w:tabs>
          <w:tab w:val="left" w:pos="4678"/>
        </w:tabs>
        <w:jc w:val="both"/>
        <w:rPr>
          <w:szCs w:val="24"/>
        </w:rPr>
      </w:pPr>
      <w:r>
        <w:rPr>
          <w:szCs w:val="24"/>
        </w:rPr>
        <w:t>Pour rappel, les remises XBRL Résolution doivent respecter les règles génériques suivantes :</w:t>
      </w:r>
    </w:p>
    <w:p w:rsidR="00272186" w:rsidRDefault="00272186" w:rsidP="00272186">
      <w:pPr>
        <w:tabs>
          <w:tab w:val="left" w:pos="4678"/>
        </w:tabs>
        <w:jc w:val="both"/>
        <w:rPr>
          <w:szCs w:val="24"/>
        </w:rPr>
      </w:pPr>
    </w:p>
    <w:p w:rsidR="00272186" w:rsidRDefault="00272186" w:rsidP="00272186">
      <w:pPr>
        <w:numPr>
          <w:ilvl w:val="2"/>
          <w:numId w:val="4"/>
        </w:numPr>
        <w:tabs>
          <w:tab w:val="clear" w:pos="2160"/>
          <w:tab w:val="num" w:pos="851"/>
          <w:tab w:val="left" w:pos="4678"/>
        </w:tabs>
        <w:ind w:hanging="1593"/>
        <w:jc w:val="both"/>
        <w:rPr>
          <w:szCs w:val="24"/>
        </w:rPr>
      </w:pPr>
      <w:r>
        <w:rPr>
          <w:szCs w:val="24"/>
        </w:rPr>
        <w:t>Une remise doit concerner l’instance d’un seul établissement</w:t>
      </w:r>
    </w:p>
    <w:p w:rsidR="00272186" w:rsidRDefault="00272186" w:rsidP="00272186">
      <w:pPr>
        <w:numPr>
          <w:ilvl w:val="2"/>
          <w:numId w:val="4"/>
        </w:numPr>
        <w:tabs>
          <w:tab w:val="clear" w:pos="2160"/>
          <w:tab w:val="num" w:pos="851"/>
          <w:tab w:val="left" w:pos="4678"/>
        </w:tabs>
        <w:ind w:hanging="1593"/>
        <w:jc w:val="both"/>
        <w:rPr>
          <w:szCs w:val="24"/>
        </w:rPr>
      </w:pPr>
      <w:r>
        <w:rPr>
          <w:szCs w:val="24"/>
        </w:rPr>
        <w:t>Abandon du préfixe obligatoire dans le nom du fichier</w:t>
      </w:r>
    </w:p>
    <w:p w:rsidR="00272186" w:rsidRDefault="00272186" w:rsidP="00272186">
      <w:pPr>
        <w:numPr>
          <w:ilvl w:val="2"/>
          <w:numId w:val="4"/>
        </w:numPr>
        <w:tabs>
          <w:tab w:val="clear" w:pos="2160"/>
          <w:tab w:val="num" w:pos="851"/>
          <w:tab w:val="left" w:pos="4678"/>
        </w:tabs>
        <w:ind w:left="851" w:hanging="284"/>
        <w:jc w:val="both"/>
        <w:rPr>
          <w:szCs w:val="24"/>
        </w:rPr>
      </w:pPr>
      <w:r>
        <w:rPr>
          <w:szCs w:val="24"/>
        </w:rPr>
        <w:t>Une signature éléctronique sera demandée à partir du 1</w:t>
      </w:r>
      <w:r>
        <w:rPr>
          <w:szCs w:val="24"/>
          <w:vertAlign w:val="superscript"/>
        </w:rPr>
        <w:t>er</w:t>
      </w:r>
      <w:r>
        <w:rPr>
          <w:szCs w:val="24"/>
        </w:rPr>
        <w:t> novembre 2024 pour toutes les instances seront (</w:t>
      </w:r>
      <w:r>
        <w:rPr>
          <w:i/>
        </w:rPr>
        <w:t>cf</w:t>
      </w:r>
      <w:r>
        <w:t> point</w:t>
      </w:r>
      <w:r>
        <w:rPr>
          <w:i/>
          <w:szCs w:val="24"/>
        </w:rPr>
        <w:t xml:space="preserve"> 3.12</w:t>
      </w:r>
      <w:r>
        <w:rPr>
          <w:szCs w:val="24"/>
        </w:rPr>
        <w:t>)</w:t>
      </w:r>
    </w:p>
    <w:p w:rsidR="00272186" w:rsidRDefault="00272186" w:rsidP="00272186">
      <w:pPr>
        <w:pStyle w:val="Titre1"/>
        <w:keepLines w:val="0"/>
        <w:numPr>
          <w:ilvl w:val="0"/>
          <w:numId w:val="1"/>
        </w:numPr>
        <w:spacing w:before="480" w:after="240"/>
        <w:ind w:left="805" w:hanging="448"/>
        <w:rPr>
          <w:rFonts w:ascii="Calibri" w:hAnsi="Calibri"/>
          <w:caps/>
          <w:sz w:val="28"/>
          <w:szCs w:val="28"/>
        </w:rPr>
      </w:pPr>
      <w:bookmarkStart w:id="6" w:name="_Toc149648050"/>
      <w:r>
        <w:rPr>
          <w:rFonts w:ascii="Calibri" w:hAnsi="Calibri"/>
          <w:caps/>
          <w:sz w:val="28"/>
          <w:szCs w:val="28"/>
        </w:rPr>
        <w:t>Canal de transmission</w:t>
      </w:r>
      <w:bookmarkEnd w:id="6"/>
    </w:p>
    <w:p w:rsidR="00272186" w:rsidRDefault="00272186" w:rsidP="00272186">
      <w:pPr>
        <w:tabs>
          <w:tab w:val="left" w:pos="4678"/>
        </w:tabs>
        <w:jc w:val="both"/>
        <w:rPr>
          <w:b/>
          <w:szCs w:val="24"/>
        </w:rPr>
      </w:pPr>
      <w:r>
        <w:rPr>
          <w:szCs w:val="24"/>
        </w:rPr>
        <w:t xml:space="preserve">Les établissements remettent leurs déclarations en se connectant au portail OneGate </w:t>
      </w:r>
      <w:r>
        <w:rPr>
          <w:b/>
          <w:szCs w:val="24"/>
        </w:rPr>
        <w:t>(format bureautique).</w:t>
      </w:r>
    </w:p>
    <w:p w:rsidR="00272186" w:rsidRDefault="00272186" w:rsidP="00272186">
      <w:pPr>
        <w:tabs>
          <w:tab w:val="left" w:pos="4678"/>
        </w:tabs>
        <w:jc w:val="both"/>
        <w:rPr>
          <w:szCs w:val="24"/>
        </w:rPr>
      </w:pPr>
    </w:p>
    <w:p w:rsidR="00272186" w:rsidRDefault="00272186" w:rsidP="00272186">
      <w:pPr>
        <w:tabs>
          <w:tab w:val="left" w:pos="4678"/>
        </w:tabs>
        <w:jc w:val="both"/>
        <w:rPr>
          <w:szCs w:val="24"/>
        </w:rPr>
      </w:pPr>
      <w:r>
        <w:rPr>
          <w:szCs w:val="24"/>
        </w:rPr>
        <w:t>Vous trouverez sur eSurfi banque au lien ci-après, le guide utilisateur dédié aux remises des collectes Résolution ainsi que les démarches à suivre pour les accréditations à Onegate.</w:t>
      </w:r>
    </w:p>
    <w:p w:rsidR="00272186" w:rsidRDefault="00272186" w:rsidP="00272186">
      <w:pPr>
        <w:tabs>
          <w:tab w:val="left" w:pos="4678"/>
        </w:tabs>
        <w:jc w:val="both"/>
        <w:rPr>
          <w:szCs w:val="24"/>
        </w:rPr>
      </w:pPr>
    </w:p>
    <w:p w:rsidR="00272186" w:rsidRDefault="00272186" w:rsidP="00272186">
      <w:pPr>
        <w:tabs>
          <w:tab w:val="left" w:pos="4678"/>
        </w:tabs>
        <w:jc w:val="both"/>
        <w:rPr>
          <w:szCs w:val="24"/>
        </w:rPr>
      </w:pPr>
      <w:hyperlink r:id="rId36" w:history="1">
        <w:r>
          <w:rPr>
            <w:rStyle w:val="Lienhypertexte"/>
            <w:rFonts w:eastAsiaTheme="majorEastAsia"/>
            <w:szCs w:val="24"/>
          </w:rPr>
          <w:t>Manuel utilisateur Onegate pour collectes demandées par la Direction de la Résolution (REGAR)</w:t>
        </w:r>
      </w:hyperlink>
    </w:p>
    <w:p w:rsidR="00272186" w:rsidRDefault="00272186" w:rsidP="00272186">
      <w:pPr>
        <w:pStyle w:val="Titre1"/>
        <w:keepLines w:val="0"/>
        <w:numPr>
          <w:ilvl w:val="0"/>
          <w:numId w:val="1"/>
        </w:numPr>
        <w:spacing w:before="480" w:after="240"/>
        <w:ind w:left="805" w:hanging="448"/>
        <w:rPr>
          <w:rFonts w:ascii="Calibri" w:hAnsi="Calibri"/>
          <w:caps/>
          <w:sz w:val="28"/>
          <w:szCs w:val="28"/>
        </w:rPr>
      </w:pPr>
      <w:bookmarkStart w:id="7" w:name="_Toc263669321"/>
      <w:bookmarkStart w:id="8" w:name="_Toc165285726"/>
      <w:bookmarkStart w:id="9" w:name="_Toc165285593"/>
      <w:bookmarkStart w:id="10" w:name="_Toc165285537"/>
      <w:bookmarkStart w:id="11" w:name="_Toc165284905"/>
      <w:bookmarkStart w:id="12" w:name="_Toc165284847"/>
      <w:bookmarkStart w:id="13" w:name="_Toc165284700"/>
      <w:bookmarkStart w:id="14" w:name="_Toc165282979"/>
      <w:bookmarkStart w:id="15" w:name="_Toc164217429"/>
      <w:bookmarkStart w:id="16" w:name="_Toc164217151"/>
      <w:bookmarkStart w:id="17" w:name="_Toc164070499"/>
      <w:bookmarkStart w:id="18" w:name="_Toc164059281"/>
      <w:bookmarkStart w:id="19" w:name="_Toc149648051"/>
      <w:bookmarkStart w:id="20" w:name="_Toc165285727"/>
      <w:bookmarkStart w:id="21" w:name="_Toc165285594"/>
      <w:bookmarkStart w:id="22" w:name="_Toc165285538"/>
      <w:bookmarkStart w:id="23" w:name="_Toc165284906"/>
      <w:bookmarkStart w:id="24" w:name="_Toc165284848"/>
      <w:bookmarkStart w:id="25" w:name="_Toc165284701"/>
      <w:bookmarkStart w:id="26" w:name="_Toc165282980"/>
      <w:bookmarkStart w:id="27" w:name="_Toc164217430"/>
      <w:bookmarkStart w:id="28" w:name="_Toc164217152"/>
      <w:bookmarkStart w:id="29" w:name="_Toc164070500"/>
      <w:bookmarkStart w:id="30" w:name="_Toc164059282"/>
      <w:r>
        <w:rPr>
          <w:rFonts w:ascii="Calibri" w:hAnsi="Calibri"/>
          <w:caps/>
          <w:sz w:val="28"/>
          <w:szCs w:val="28"/>
        </w:rPr>
        <w:lastRenderedPageBreak/>
        <w:t>Contenu des Fichier</w:t>
      </w:r>
      <w:bookmarkEnd w:id="7"/>
      <w:bookmarkEnd w:id="8"/>
      <w:bookmarkEnd w:id="9"/>
      <w:bookmarkEnd w:id="10"/>
      <w:bookmarkEnd w:id="11"/>
      <w:bookmarkEnd w:id="12"/>
      <w:bookmarkEnd w:id="13"/>
      <w:bookmarkEnd w:id="14"/>
      <w:bookmarkEnd w:id="15"/>
      <w:bookmarkEnd w:id="16"/>
      <w:bookmarkEnd w:id="17"/>
      <w:bookmarkEnd w:id="18"/>
      <w:r>
        <w:rPr>
          <w:rFonts w:ascii="Calibri" w:hAnsi="Calibri"/>
          <w:caps/>
          <w:sz w:val="28"/>
          <w:szCs w:val="28"/>
        </w:rPr>
        <w:t>s et règles de format (</w:t>
      </w:r>
      <w:r>
        <w:rPr>
          <w:rFonts w:ascii="Calibri" w:hAnsi="Calibri"/>
          <w:i/>
          <w:caps/>
          <w:sz w:val="28"/>
          <w:szCs w:val="28"/>
        </w:rPr>
        <w:t>filing rules</w:t>
      </w:r>
      <w:r>
        <w:rPr>
          <w:rFonts w:ascii="Calibri" w:hAnsi="Calibri"/>
          <w:caps/>
          <w:sz w:val="28"/>
          <w:szCs w:val="28"/>
        </w:rPr>
        <w:t>)</w:t>
      </w:r>
      <w:bookmarkEnd w:id="19"/>
    </w:p>
    <w:p w:rsidR="00272186" w:rsidRDefault="00272186" w:rsidP="00272186">
      <w:pPr>
        <w:ind w:firstLine="357"/>
        <w:outlineLvl w:val="1"/>
      </w:pPr>
      <w:bookmarkStart w:id="31" w:name="_Toc149648052"/>
      <w:r>
        <w:rPr>
          <w:u w:val="single"/>
        </w:rPr>
        <w:t>Remarque générale</w:t>
      </w:r>
      <w:bookmarkEnd w:id="31"/>
      <w:r>
        <w:t> </w:t>
      </w:r>
    </w:p>
    <w:p w:rsidR="00272186" w:rsidRDefault="00272186" w:rsidP="00272186"/>
    <w:p w:rsidR="00272186" w:rsidRDefault="00272186" w:rsidP="00272186">
      <w:pPr>
        <w:jc w:val="both"/>
      </w:pPr>
      <w:r>
        <w:t>Le langage XBRL (</w:t>
      </w:r>
      <w:r>
        <w:rPr>
          <w:i/>
        </w:rPr>
        <w:t>eXtensible Business Reporting Language</w:t>
      </w:r>
      <w:r>
        <w:t xml:space="preserve">) est utilisé pour les collectes structurées de la Résolution et visées au chapitre 1 de ce document. </w:t>
      </w:r>
    </w:p>
    <w:p w:rsidR="00272186" w:rsidRDefault="00272186" w:rsidP="00272186">
      <w:pPr>
        <w:jc w:val="both"/>
      </w:pPr>
    </w:p>
    <w:p w:rsidR="00272186" w:rsidRDefault="00272186" w:rsidP="00272186">
      <w:pPr>
        <w:jc w:val="both"/>
      </w:pPr>
      <w:r>
        <w:t>Une instance XBRL reçue doit être valide et être conforme à l’ensemble des règles et réglementations applicables (tous les contrôles définis dans la taxonomie doivent, notamment, être satisfaits).</w:t>
      </w:r>
    </w:p>
    <w:p w:rsidR="00272186" w:rsidRDefault="00272186" w:rsidP="00272186"/>
    <w:p w:rsidR="00272186" w:rsidRDefault="00272186" w:rsidP="00272186">
      <w:pPr>
        <w:jc w:val="both"/>
      </w:pPr>
      <w:r>
        <w:t xml:space="preserve">L’ACPR publie sur le site eSurfi, les régles de validation établies par le CRU pour la collecte des contributions </w:t>
      </w:r>
      <w:r>
        <w:rPr>
          <w:i/>
        </w:rPr>
        <w:t>ex ante</w:t>
      </w:r>
      <w:r>
        <w:t xml:space="preserve"> aux fonds de résolution (FRU-FRN) : </w:t>
      </w:r>
    </w:p>
    <w:p w:rsidR="00272186" w:rsidRDefault="00272186" w:rsidP="00272186"/>
    <w:p w:rsidR="00272186" w:rsidRDefault="00272186" w:rsidP="00272186">
      <w:pPr>
        <w:jc w:val="both"/>
        <w:rPr>
          <w:i/>
        </w:rPr>
      </w:pPr>
      <w:r>
        <w:rPr>
          <w:i/>
        </w:rPr>
        <w:t>A noter, que certains contrôles de type validation rules présents sur le format excel et absents sur la taxonomie XBRL 2025 ont été repris par l’ACPR (label DRF) :</w:t>
      </w:r>
    </w:p>
    <w:p w:rsidR="00272186" w:rsidRDefault="00272186" w:rsidP="00272186">
      <w:pPr>
        <w:rPr>
          <w:sz w:val="16"/>
          <w:szCs w:val="16"/>
        </w:rPr>
      </w:pPr>
    </w:p>
    <w:p w:rsidR="00272186" w:rsidRDefault="00272186" w:rsidP="00272186">
      <w:pPr>
        <w:jc w:val="center"/>
        <w:rPr>
          <w:rStyle w:val="Lienhypertexte"/>
          <w:rFonts w:eastAsiaTheme="majorEastAsia"/>
        </w:rPr>
      </w:pPr>
      <w:hyperlink r:id="rId37" w:history="1">
        <w:r>
          <w:rPr>
            <w:rStyle w:val="Lienhypertexte"/>
            <w:rFonts w:eastAsiaTheme="majorEastAsia"/>
          </w:rPr>
          <w:t>règles de validation collecte contributions</w:t>
        </w:r>
        <w:r>
          <w:rPr>
            <w:rStyle w:val="Lienhypertexte"/>
            <w:rFonts w:eastAsiaTheme="majorEastAsia"/>
            <w:i/>
          </w:rPr>
          <w:t xml:space="preserve"> ex-ante</w:t>
        </w:r>
        <w:r>
          <w:rPr>
            <w:rStyle w:val="Lienhypertexte"/>
            <w:rFonts w:eastAsiaTheme="majorEastAsia"/>
          </w:rPr>
          <w:t xml:space="preserve"> FRU et FRN 2025</w:t>
        </w:r>
      </w:hyperlink>
    </w:p>
    <w:p w:rsidR="00272186" w:rsidRPr="00511DF0" w:rsidRDefault="00272186" w:rsidP="00272186">
      <w:pPr>
        <w:numPr>
          <w:ilvl w:val="1"/>
          <w:numId w:val="5"/>
        </w:numPr>
        <w:spacing w:before="240" w:after="60"/>
        <w:ind w:left="1066" w:hanging="357"/>
        <w:outlineLvl w:val="1"/>
        <w:rPr>
          <w:rStyle w:val="Lienhypertexte"/>
          <w:rFonts w:eastAsiaTheme="majorEastAsia"/>
          <w:color w:val="auto"/>
        </w:rPr>
      </w:pPr>
      <w:bookmarkStart w:id="32" w:name="_Toc149648053"/>
      <w:r w:rsidRPr="00511DF0">
        <w:rPr>
          <w:b/>
          <w:u w:val="single"/>
        </w:rPr>
        <w:t>Monnaie de remise</w:t>
      </w:r>
      <w:bookmarkEnd w:id="32"/>
      <w:r w:rsidRPr="00511DF0">
        <w:rPr>
          <w:b/>
          <w:u w:val="single"/>
        </w:rPr>
        <w:t xml:space="preserve">  </w:t>
      </w:r>
    </w:p>
    <w:p w:rsidR="00272186" w:rsidRDefault="00272186" w:rsidP="00272186">
      <w:pPr>
        <w:ind w:left="1072"/>
        <w:rPr>
          <w:rFonts w:eastAsiaTheme="majorEastAsia"/>
        </w:rPr>
      </w:pPr>
    </w:p>
    <w:p w:rsidR="00272186" w:rsidRDefault="00272186" w:rsidP="00272186">
      <w:pPr>
        <w:pStyle w:val="CorpsTexte"/>
        <w:numPr>
          <w:ilvl w:val="0"/>
          <w:numId w:val="6"/>
        </w:numPr>
        <w:spacing w:before="0"/>
        <w:rPr>
          <w:rFonts w:ascii="Times New Roman" w:hAnsi="Times New Roman" w:cs="Times New Roman"/>
          <w:kern w:val="0"/>
          <w:sz w:val="24"/>
          <w:szCs w:val="24"/>
        </w:rPr>
      </w:pPr>
      <w:r>
        <w:rPr>
          <w:rFonts w:ascii="Times New Roman" w:hAnsi="Times New Roman" w:cs="Times New Roman"/>
          <w:kern w:val="0"/>
          <w:sz w:val="24"/>
          <w:szCs w:val="24"/>
          <w:u w:val="single"/>
        </w:rPr>
        <w:t xml:space="preserve">Reporting Contribution </w:t>
      </w:r>
      <w:r>
        <w:rPr>
          <w:rFonts w:ascii="Times New Roman" w:hAnsi="Times New Roman" w:cs="Times New Roman"/>
          <w:i/>
          <w:kern w:val="0"/>
          <w:sz w:val="24"/>
          <w:szCs w:val="24"/>
          <w:u w:val="single"/>
        </w:rPr>
        <w:t>Ex-Ante</w:t>
      </w:r>
      <w:r>
        <w:rPr>
          <w:rFonts w:ascii="Times New Roman" w:hAnsi="Times New Roman" w:cs="Times New Roman"/>
          <w:kern w:val="0"/>
          <w:sz w:val="24"/>
          <w:szCs w:val="24"/>
        </w:rPr>
        <w:t> :</w:t>
      </w: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 xml:space="preserve">Les montants présents dans les instances XBRL </w:t>
      </w:r>
      <w:r>
        <w:rPr>
          <w:rFonts w:ascii="Times New Roman" w:hAnsi="Times New Roman" w:cs="Times New Roman"/>
          <w:b/>
          <w:kern w:val="0"/>
          <w:sz w:val="24"/>
          <w:szCs w:val="24"/>
          <w:u w:val="single"/>
        </w:rPr>
        <w:t>doivent obligatoirement</w:t>
      </w:r>
      <w:r>
        <w:rPr>
          <w:rFonts w:ascii="Times New Roman" w:hAnsi="Times New Roman" w:cs="Times New Roman"/>
          <w:kern w:val="0"/>
          <w:sz w:val="24"/>
          <w:szCs w:val="24"/>
        </w:rPr>
        <w:t xml:space="preserve"> être exprimés en euro</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r>
        <w:rPr>
          <w:noProof/>
        </w:rPr>
        <w:drawing>
          <wp:inline distT="0" distB="0" distL="0" distR="0">
            <wp:extent cx="2735580" cy="563880"/>
            <wp:effectExtent l="19050" t="19050" r="26670" b="266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5580" cy="563880"/>
                    </a:xfrm>
                    <a:prstGeom prst="rect">
                      <a:avLst/>
                    </a:prstGeom>
                    <a:noFill/>
                    <a:ln w="12700" cmpd="sng">
                      <a:solidFill>
                        <a:srgbClr val="000000"/>
                      </a:solidFill>
                      <a:miter lim="800000"/>
                      <a:headEnd/>
                      <a:tailEnd/>
                    </a:ln>
                    <a:effectLst/>
                  </pic:spPr>
                </pic:pic>
              </a:graphicData>
            </a:graphic>
          </wp:inline>
        </w:drawing>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numPr>
          <w:ilvl w:val="0"/>
          <w:numId w:val="6"/>
        </w:numPr>
        <w:spacing w:before="0"/>
        <w:rPr>
          <w:rFonts w:ascii="Times New Roman" w:hAnsi="Times New Roman" w:cs="Times New Roman"/>
          <w:kern w:val="0"/>
          <w:sz w:val="24"/>
          <w:szCs w:val="24"/>
          <w:lang w:val="en-US"/>
        </w:rPr>
      </w:pPr>
      <w:r>
        <w:rPr>
          <w:rFonts w:ascii="Times New Roman" w:hAnsi="Times New Roman" w:cs="Times New Roman"/>
          <w:kern w:val="0"/>
          <w:sz w:val="24"/>
          <w:szCs w:val="24"/>
          <w:u w:val="single"/>
          <w:lang w:val="en-US"/>
        </w:rPr>
        <w:t>Reporting LDR/CFR/FMI/CIR/MREL-TLAC</w:t>
      </w:r>
      <w:r>
        <w:rPr>
          <w:rFonts w:ascii="Times New Roman" w:hAnsi="Times New Roman" w:cs="Times New Roman"/>
          <w:kern w:val="0"/>
          <w:sz w:val="24"/>
          <w:szCs w:val="24"/>
          <w:lang w:val="en-US"/>
        </w:rPr>
        <w:t> :</w:t>
      </w:r>
    </w:p>
    <w:p w:rsidR="00272186" w:rsidRDefault="00272186" w:rsidP="00272186">
      <w:pPr>
        <w:pStyle w:val="CorpsTexte"/>
        <w:spacing w:before="0"/>
        <w:ind w:left="720"/>
        <w:rPr>
          <w:rFonts w:ascii="Times New Roman" w:hAnsi="Times New Roman" w:cs="Times New Roman"/>
          <w:kern w:val="0"/>
          <w:sz w:val="24"/>
          <w:szCs w:val="24"/>
          <w:lang w:val="en-US"/>
        </w:rPr>
      </w:pP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kern w:val="0"/>
          <w:sz w:val="24"/>
          <w:szCs w:val="24"/>
        </w:rPr>
        <w:t xml:space="preserve">Les montants présents dans les instances XBRL </w:t>
      </w:r>
      <w:r>
        <w:rPr>
          <w:rFonts w:ascii="Times New Roman" w:hAnsi="Times New Roman" w:cs="Times New Roman"/>
          <w:b/>
          <w:kern w:val="0"/>
          <w:sz w:val="24"/>
          <w:szCs w:val="24"/>
          <w:u w:val="single"/>
        </w:rPr>
        <w:t>doivent obligatoirement</w:t>
      </w:r>
      <w:r>
        <w:rPr>
          <w:rFonts w:ascii="Times New Roman" w:hAnsi="Times New Roman" w:cs="Times New Roman"/>
          <w:kern w:val="0"/>
          <w:sz w:val="24"/>
          <w:szCs w:val="24"/>
        </w:rPr>
        <w:t xml:space="preserve"> être exprimés en euro (</w:t>
      </w:r>
      <w:r>
        <w:rPr>
          <w:rFonts w:ascii="Times New Roman" w:hAnsi="Times New Roman" w:cs="Times New Roman"/>
          <w:i/>
          <w:kern w:val="0"/>
          <w:sz w:val="24"/>
          <w:szCs w:val="24"/>
        </w:rPr>
        <w:t>cf.</w:t>
      </w:r>
      <w:r>
        <w:rPr>
          <w:rFonts w:ascii="Times New Roman" w:hAnsi="Times New Roman" w:cs="Times New Roman"/>
          <w:kern w:val="0"/>
          <w:sz w:val="24"/>
          <w:szCs w:val="24"/>
        </w:rPr>
        <w:t xml:space="preserve"> page 7 de la guidance LDR publiée sur le site du CRU reprise ci-dessous)</w:t>
      </w:r>
    </w:p>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pStyle w:val="CorpsTexte"/>
        <w:spacing w:before="0"/>
        <w:ind w:left="0"/>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5783580" cy="92202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83580" cy="922020"/>
                    </a:xfrm>
                    <a:prstGeom prst="rect">
                      <a:avLst/>
                    </a:prstGeom>
                    <a:noFill/>
                    <a:ln>
                      <a:noFill/>
                    </a:ln>
                  </pic:spPr>
                </pic:pic>
              </a:graphicData>
            </a:graphic>
          </wp:inline>
        </w:drawing>
      </w:r>
    </w:p>
    <w:bookmarkEnd w:id="20"/>
    <w:bookmarkEnd w:id="21"/>
    <w:bookmarkEnd w:id="22"/>
    <w:bookmarkEnd w:id="23"/>
    <w:bookmarkEnd w:id="24"/>
    <w:bookmarkEnd w:id="25"/>
    <w:bookmarkEnd w:id="26"/>
    <w:bookmarkEnd w:id="27"/>
    <w:bookmarkEnd w:id="28"/>
    <w:bookmarkEnd w:id="29"/>
    <w:bookmarkEnd w:id="30"/>
    <w:p w:rsidR="00272186" w:rsidRDefault="00272186" w:rsidP="00272186">
      <w:pPr>
        <w:pStyle w:val="CorpsTexte"/>
        <w:spacing w:before="0"/>
        <w:ind w:left="0"/>
        <w:rPr>
          <w:rFonts w:ascii="Times New Roman" w:hAnsi="Times New Roman" w:cs="Times New Roman"/>
          <w:kern w:val="0"/>
          <w:sz w:val="24"/>
          <w:szCs w:val="24"/>
        </w:rPr>
      </w:pPr>
    </w:p>
    <w:p w:rsidR="00272186" w:rsidRDefault="00272186" w:rsidP="00272186">
      <w:pPr>
        <w:numPr>
          <w:ilvl w:val="1"/>
          <w:numId w:val="5"/>
        </w:numPr>
        <w:ind w:left="0" w:firstLine="357"/>
        <w:outlineLvl w:val="1"/>
        <w:rPr>
          <w:b/>
          <w:u w:val="single"/>
        </w:rPr>
      </w:pPr>
      <w:r>
        <w:rPr>
          <w:szCs w:val="24"/>
        </w:rPr>
        <w:t xml:space="preserve">  </w:t>
      </w:r>
      <w:bookmarkStart w:id="33" w:name="_Toc149648054"/>
      <w:r>
        <w:rPr>
          <w:b/>
          <w:szCs w:val="24"/>
          <w:u w:val="single"/>
        </w:rPr>
        <w:t>Spécificités des fichiers XBRL par dépôt de remises bureautiques</w:t>
      </w:r>
      <w:bookmarkEnd w:id="33"/>
      <w:r>
        <w:rPr>
          <w:b/>
          <w:szCs w:val="24"/>
          <w:u w:val="single"/>
        </w:rPr>
        <w:t xml:space="preserve"> </w:t>
      </w:r>
    </w:p>
    <w:p w:rsidR="00272186" w:rsidRDefault="00272186" w:rsidP="00272186">
      <w:pPr>
        <w:ind w:left="1066"/>
        <w:rPr>
          <w:u w:val="single"/>
        </w:rPr>
      </w:pPr>
    </w:p>
    <w:p w:rsidR="00272186" w:rsidRDefault="00272186" w:rsidP="00272186">
      <w:pPr>
        <w:numPr>
          <w:ilvl w:val="0"/>
          <w:numId w:val="6"/>
        </w:numPr>
        <w:jc w:val="both"/>
        <w:rPr>
          <w:szCs w:val="24"/>
        </w:rPr>
      </w:pPr>
      <w:r>
        <w:rPr>
          <w:szCs w:val="24"/>
          <w:u w:val="single"/>
        </w:rPr>
        <w:t xml:space="preserve">Reporting Contribution </w:t>
      </w:r>
      <w:r>
        <w:rPr>
          <w:i/>
          <w:szCs w:val="24"/>
          <w:u w:val="single"/>
        </w:rPr>
        <w:t>Ex-Ante</w:t>
      </w:r>
      <w:r>
        <w:rPr>
          <w:szCs w:val="24"/>
          <w:u w:val="single"/>
        </w:rPr>
        <w:t xml:space="preserve"> et Reporting LDR/CFR/FMI/CIR/MREL-TLAC/IMPRACTICABILITY</w:t>
      </w:r>
      <w:r>
        <w:rPr>
          <w:szCs w:val="24"/>
        </w:rPr>
        <w:t> :</w:t>
      </w:r>
    </w:p>
    <w:p w:rsidR="00272186" w:rsidRDefault="00272186" w:rsidP="00272186">
      <w:pPr>
        <w:jc w:val="both"/>
        <w:rPr>
          <w:szCs w:val="24"/>
        </w:rPr>
      </w:pPr>
    </w:p>
    <w:p w:rsidR="00272186" w:rsidRDefault="00272186" w:rsidP="00272186">
      <w:pPr>
        <w:jc w:val="both"/>
        <w:rPr>
          <w:szCs w:val="24"/>
        </w:rPr>
      </w:pPr>
      <w:r>
        <w:rPr>
          <w:szCs w:val="24"/>
        </w:rPr>
        <w:t>Le fichier doit débuter par la balise &lt;?xml version="1.0" encoding="UTF-8"?&gt;, suivie directement de l’instance XBRL.</w:t>
      </w:r>
    </w:p>
    <w:p w:rsidR="00272186" w:rsidRDefault="00272186" w:rsidP="00272186">
      <w:pPr>
        <w:jc w:val="both"/>
        <w:rPr>
          <w:szCs w:val="24"/>
        </w:rPr>
      </w:pPr>
    </w:p>
    <w:p w:rsidR="00272186" w:rsidRDefault="00272186" w:rsidP="00272186">
      <w:pPr>
        <w:ind w:left="1069"/>
        <w:rPr>
          <w:rFonts w:ascii="Consolas" w:hAnsi="Consolas" w:cs="Consolas"/>
          <w:sz w:val="22"/>
          <w:szCs w:val="22"/>
          <w:lang w:val="en-US"/>
        </w:rPr>
      </w:pPr>
      <w:r>
        <w:rPr>
          <w:rFonts w:ascii="Consolas" w:hAnsi="Consolas" w:cs="Consolas"/>
          <w:sz w:val="22"/>
          <w:szCs w:val="22"/>
          <w:lang w:val="en-US"/>
        </w:rPr>
        <w:t>Exemple correct</w:t>
      </w:r>
    </w:p>
    <w:p w:rsidR="00272186" w:rsidRDefault="00272186" w:rsidP="00272186">
      <w:pPr>
        <w:jc w:val="both"/>
        <w:rPr>
          <w:noProof/>
        </w:rPr>
      </w:pPr>
      <w:r>
        <w:rPr>
          <w:noProof/>
        </w:rPr>
        <w:lastRenderedPageBreak/>
        <w:drawing>
          <wp:inline distT="0" distB="0" distL="0" distR="0">
            <wp:extent cx="5974080" cy="670560"/>
            <wp:effectExtent l="19050" t="19050" r="26670" b="152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4080" cy="670560"/>
                    </a:xfrm>
                    <a:prstGeom prst="rect">
                      <a:avLst/>
                    </a:prstGeom>
                    <a:noFill/>
                    <a:ln w="12700" cmpd="sng">
                      <a:solidFill>
                        <a:srgbClr val="000000"/>
                      </a:solidFill>
                      <a:miter lim="800000"/>
                      <a:headEnd/>
                      <a:tailEnd/>
                    </a:ln>
                    <a:effectLst/>
                  </pic:spPr>
                </pic:pic>
              </a:graphicData>
            </a:graphic>
          </wp:inline>
        </w:drawing>
      </w:r>
    </w:p>
    <w:p w:rsidR="00272186" w:rsidRDefault="00272186" w:rsidP="00272186">
      <w:pPr>
        <w:jc w:val="both"/>
        <w:rPr>
          <w:noProof/>
        </w:rPr>
      </w:pPr>
    </w:p>
    <w:p w:rsidR="00272186" w:rsidRDefault="00272186" w:rsidP="00272186">
      <w:pPr>
        <w:jc w:val="both"/>
        <w:rPr>
          <w:szCs w:val="24"/>
        </w:rPr>
      </w:pPr>
      <w:r>
        <w:rPr>
          <w:szCs w:val="24"/>
        </w:rPr>
        <w:t xml:space="preserve">Les éléments « administration » , « report » et « instance-generator » utilisés dans le cadre du reporting de supervision (RUBA)  </w:t>
      </w:r>
      <w:r>
        <w:rPr>
          <w:b/>
          <w:szCs w:val="24"/>
          <w:u w:val="single"/>
        </w:rPr>
        <w:t>ne doivent pas  apparaître</w:t>
      </w:r>
      <w:r>
        <w:rPr>
          <w:szCs w:val="24"/>
        </w:rPr>
        <w:t>:</w:t>
      </w:r>
    </w:p>
    <w:p w:rsidR="00272186" w:rsidRDefault="00272186" w:rsidP="00272186">
      <w:pPr>
        <w:keepNext/>
        <w:jc w:val="both"/>
        <w:rPr>
          <w:szCs w:val="24"/>
        </w:rPr>
      </w:pPr>
    </w:p>
    <w:p w:rsidR="00272186" w:rsidRDefault="00272186" w:rsidP="00272186">
      <w:pPr>
        <w:keepNext/>
      </w:pPr>
      <w:r>
        <w:t xml:space="preserve">Exemple de balises </w:t>
      </w:r>
      <w:r>
        <w:rPr>
          <w:b/>
          <w:u w:val="single"/>
        </w:rPr>
        <w:t>ne devant pas</w:t>
      </w:r>
      <w:r>
        <w:t xml:space="preserve"> figurer dans l’instance :</w:t>
      </w:r>
    </w:p>
    <w:p w:rsidR="00272186" w:rsidRDefault="00272186" w:rsidP="00272186">
      <w:pPr>
        <w:keepNext/>
        <w:jc w:val="both"/>
        <w:rPr>
          <w:rFonts w:ascii="Consolas" w:hAnsi="Consolas" w:cs="Consolas"/>
          <w:sz w:val="22"/>
          <w:szCs w:val="22"/>
        </w:rPr>
      </w:pPr>
    </w:p>
    <w:p w:rsidR="00272186" w:rsidRDefault="00272186" w:rsidP="00272186">
      <w:pPr>
        <w:keepNext/>
        <w:rPr>
          <w:lang w:val="en-US"/>
        </w:rPr>
      </w:pPr>
      <w:r>
        <w:rPr>
          <w:rFonts w:ascii="Consolas" w:hAnsi="Consolas" w:cs="Consolas"/>
          <w:noProof/>
          <w:sz w:val="22"/>
          <w:szCs w:val="22"/>
        </w:rPr>
        <w:drawing>
          <wp:inline distT="0" distB="0" distL="0" distR="0">
            <wp:extent cx="5966460" cy="1066800"/>
            <wp:effectExtent l="19050" t="19050" r="15240" b="190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66460" cy="1066800"/>
                    </a:xfrm>
                    <a:prstGeom prst="rect">
                      <a:avLst/>
                    </a:prstGeom>
                    <a:noFill/>
                    <a:ln w="12700" cmpd="sng">
                      <a:solidFill>
                        <a:srgbClr val="000000"/>
                      </a:solidFill>
                      <a:miter lim="800000"/>
                      <a:headEnd/>
                      <a:tailEnd/>
                    </a:ln>
                    <a:effectLst/>
                  </pic:spPr>
                </pic:pic>
              </a:graphicData>
            </a:graphic>
          </wp:inline>
        </w:drawing>
      </w:r>
    </w:p>
    <w:p w:rsidR="00272186" w:rsidRDefault="00272186" w:rsidP="00272186">
      <w:pPr>
        <w:keepNext/>
        <w:ind w:left="1066"/>
        <w:rPr>
          <w:lang w:val="en-US"/>
        </w:rPr>
      </w:pPr>
    </w:p>
    <w:p w:rsidR="00272186" w:rsidRDefault="00272186" w:rsidP="00272186">
      <w:pPr>
        <w:ind w:left="1066"/>
        <w:rPr>
          <w:lang w:val="en-US"/>
        </w:rPr>
      </w:pPr>
    </w:p>
    <w:p w:rsidR="00272186" w:rsidRDefault="00272186" w:rsidP="00272186">
      <w:pPr>
        <w:numPr>
          <w:ilvl w:val="1"/>
          <w:numId w:val="5"/>
        </w:numPr>
        <w:ind w:left="0" w:firstLine="357"/>
        <w:outlineLvl w:val="1"/>
        <w:rPr>
          <w:b/>
          <w:u w:val="single"/>
        </w:rPr>
      </w:pPr>
      <w:bookmarkStart w:id="34" w:name="_Toc149648055"/>
      <w:r>
        <w:rPr>
          <w:b/>
          <w:u w:val="single"/>
        </w:rPr>
        <w:t>Période</w:t>
      </w:r>
      <w:bookmarkEnd w:id="34"/>
    </w:p>
    <w:p w:rsidR="00272186" w:rsidRDefault="00272186" w:rsidP="00272186">
      <w:pPr>
        <w:ind w:left="1066"/>
      </w:pPr>
    </w:p>
    <w:p w:rsidR="00272186" w:rsidRDefault="00272186" w:rsidP="00272186">
      <w:pPr>
        <w:numPr>
          <w:ilvl w:val="0"/>
          <w:numId w:val="6"/>
        </w:numPr>
      </w:pPr>
      <w:r>
        <w:rPr>
          <w:szCs w:val="24"/>
          <w:u w:val="single"/>
        </w:rPr>
        <w:t xml:space="preserve">Reporting Contribution </w:t>
      </w:r>
      <w:r>
        <w:rPr>
          <w:i/>
          <w:szCs w:val="24"/>
          <w:u w:val="single"/>
        </w:rPr>
        <w:t>Ex-Ante</w:t>
      </w:r>
      <w:r>
        <w:rPr>
          <w:szCs w:val="24"/>
          <w:u w:val="single"/>
        </w:rPr>
        <w:t> (SRF)</w:t>
      </w:r>
    </w:p>
    <w:p w:rsidR="00272186" w:rsidRDefault="00272186" w:rsidP="00272186">
      <w:pPr>
        <w:ind w:left="1066"/>
      </w:pPr>
    </w:p>
    <w:p w:rsidR="00272186" w:rsidRDefault="00272186" w:rsidP="00272186">
      <w:r>
        <w:t>Le choix taxonomique du CRU est d’utiliser la date limite de remise de l’instance comme référence pour valoriser la balise &lt;period &gt;.</w:t>
      </w:r>
    </w:p>
    <w:p w:rsidR="00272186" w:rsidRDefault="00272186" w:rsidP="00272186">
      <w:pPr>
        <w:ind w:left="360"/>
      </w:pPr>
    </w:p>
    <w:p w:rsidR="00272186" w:rsidRDefault="00272186" w:rsidP="00272186">
      <w:r>
        <w:t xml:space="preserve">En conséquence, la balise </w:t>
      </w:r>
      <w:r>
        <w:rPr>
          <w:b/>
          <w:u w:val="single"/>
        </w:rPr>
        <w:t>ne doit pas</w:t>
      </w:r>
      <w:r>
        <w:t xml:space="preserve"> porter la date d’arrêté de référence pour les données financières (Campagne 2025 : sur la base des informations financières de l’arrêté 31/12/2023).</w:t>
      </w:r>
    </w:p>
    <w:p w:rsidR="00272186" w:rsidRDefault="00272186" w:rsidP="00272186">
      <w:pPr>
        <w:ind w:left="360"/>
      </w:pPr>
    </w:p>
    <w:p w:rsidR="00272186" w:rsidRDefault="00272186" w:rsidP="00272186">
      <w:r>
        <w:t xml:space="preserve">Exemple :  </w:t>
      </w:r>
    </w:p>
    <w:p w:rsidR="00272186" w:rsidRDefault="00272186" w:rsidP="00272186">
      <w:pPr>
        <w:ind w:left="360"/>
      </w:pPr>
    </w:p>
    <w:p w:rsidR="00272186" w:rsidRDefault="00272186" w:rsidP="00272186">
      <w:pPr>
        <w:ind w:firstLine="709"/>
        <w:rPr>
          <w:u w:val="single"/>
        </w:rPr>
      </w:pPr>
      <w:r>
        <w:rPr>
          <w:u w:val="single"/>
        </w:rPr>
        <w:t>Format de la balise &lt;period &gt; au statut OK</w:t>
      </w:r>
    </w:p>
    <w:p w:rsidR="00272186" w:rsidRDefault="00272186" w:rsidP="00272186">
      <w:pPr>
        <w:ind w:firstLine="709"/>
      </w:pPr>
      <w:r>
        <w:t>&lt;period&gt;</w:t>
      </w:r>
    </w:p>
    <w:p w:rsidR="00272186" w:rsidRDefault="00272186" w:rsidP="00272186">
      <w:pPr>
        <w:ind w:left="709" w:firstLine="709"/>
      </w:pPr>
      <w:r>
        <w:t>&lt;instant&gt;2025-01-31&lt;/instant&gt;</w:t>
      </w:r>
    </w:p>
    <w:p w:rsidR="00272186" w:rsidRDefault="00272186" w:rsidP="00272186">
      <w:pPr>
        <w:ind w:firstLine="709"/>
      </w:pPr>
      <w:r>
        <w:t>&lt;/period&gt;</w:t>
      </w:r>
    </w:p>
    <w:p w:rsidR="00272186" w:rsidRDefault="00272186" w:rsidP="00272186">
      <w:pPr>
        <w:ind w:left="1418"/>
      </w:pPr>
    </w:p>
    <w:p w:rsidR="00272186" w:rsidRDefault="00272186" w:rsidP="00272186">
      <w:pPr>
        <w:ind w:firstLine="709"/>
        <w:rPr>
          <w:u w:val="single"/>
        </w:rPr>
      </w:pPr>
      <w:r>
        <w:rPr>
          <w:u w:val="single"/>
        </w:rPr>
        <w:t>Format de la balise &lt;period &gt; au statut KO</w:t>
      </w:r>
    </w:p>
    <w:p w:rsidR="00272186" w:rsidRDefault="00272186" w:rsidP="00272186">
      <w:pPr>
        <w:ind w:firstLine="709"/>
        <w:rPr>
          <w:lang w:val="en-US"/>
        </w:rPr>
      </w:pPr>
      <w:r>
        <w:rPr>
          <w:lang w:val="en-US"/>
        </w:rPr>
        <w:t>&lt;period&gt;</w:t>
      </w:r>
    </w:p>
    <w:p w:rsidR="00272186" w:rsidRDefault="00272186" w:rsidP="00272186">
      <w:pPr>
        <w:ind w:left="709" w:firstLine="709"/>
        <w:rPr>
          <w:lang w:val="en-US"/>
        </w:rPr>
      </w:pPr>
      <w:r>
        <w:rPr>
          <w:lang w:val="en-US"/>
        </w:rPr>
        <w:t>&lt;instant&gt;2023-12-31&lt;/instant&gt;</w:t>
      </w:r>
    </w:p>
    <w:p w:rsidR="00272186" w:rsidRDefault="00272186" w:rsidP="00272186">
      <w:pPr>
        <w:ind w:firstLine="709"/>
        <w:rPr>
          <w:lang w:val="en-US"/>
        </w:rPr>
      </w:pPr>
      <w:r>
        <w:rPr>
          <w:lang w:val="en-US"/>
        </w:rPr>
        <w:t>&lt;/period&gt;</w:t>
      </w:r>
    </w:p>
    <w:p w:rsidR="00272186" w:rsidRDefault="00272186" w:rsidP="00272186">
      <w:pPr>
        <w:ind w:left="360"/>
        <w:rPr>
          <w:lang w:val="en-US"/>
        </w:rPr>
      </w:pPr>
    </w:p>
    <w:p w:rsidR="00272186" w:rsidRDefault="00272186" w:rsidP="00272186">
      <w:pPr>
        <w:ind w:left="360"/>
        <w:rPr>
          <w:lang w:val="en-US"/>
        </w:rPr>
      </w:pPr>
    </w:p>
    <w:p w:rsidR="00272186" w:rsidRDefault="00272186" w:rsidP="00272186">
      <w:pPr>
        <w:numPr>
          <w:ilvl w:val="0"/>
          <w:numId w:val="6"/>
        </w:numPr>
        <w:rPr>
          <w:u w:val="single"/>
          <w:lang w:val="en-US"/>
        </w:rPr>
      </w:pPr>
      <w:r>
        <w:rPr>
          <w:u w:val="single"/>
          <w:lang w:val="en-US"/>
        </w:rPr>
        <w:t>Reporting LDR/CFR/FMI/CIR</w:t>
      </w:r>
    </w:p>
    <w:p w:rsidR="00272186" w:rsidRDefault="00272186" w:rsidP="00272186">
      <w:pPr>
        <w:ind w:left="360"/>
        <w:rPr>
          <w:lang w:val="en-US"/>
        </w:rPr>
      </w:pPr>
    </w:p>
    <w:p w:rsidR="00272186" w:rsidRDefault="00272186" w:rsidP="00272186">
      <w:r>
        <w:t>Le choix taxonomique du CRU est d’utiliser la date de référence des données comptables et financières comme référence pour valoriser la balise &lt;period &gt;.</w:t>
      </w:r>
    </w:p>
    <w:p w:rsidR="00272186" w:rsidRDefault="00272186" w:rsidP="00272186">
      <w:pPr>
        <w:ind w:left="360"/>
      </w:pPr>
    </w:p>
    <w:p w:rsidR="00272186" w:rsidRDefault="00272186" w:rsidP="00272186">
      <w:r>
        <w:t>Exemple : arrêté 12/2024</w:t>
      </w:r>
    </w:p>
    <w:p w:rsidR="00272186" w:rsidRDefault="00272186" w:rsidP="00272186">
      <w:pPr>
        <w:ind w:left="360"/>
      </w:pPr>
    </w:p>
    <w:p w:rsidR="00272186" w:rsidRDefault="00272186" w:rsidP="00272186">
      <w:pPr>
        <w:ind w:firstLine="709"/>
        <w:rPr>
          <w:u w:val="single"/>
        </w:rPr>
      </w:pPr>
      <w:r>
        <w:rPr>
          <w:u w:val="single"/>
        </w:rPr>
        <w:t>Format de la balise &lt;period &gt; au statut OK</w:t>
      </w:r>
    </w:p>
    <w:p w:rsidR="00272186" w:rsidRDefault="00272186" w:rsidP="00272186">
      <w:pPr>
        <w:ind w:firstLine="709"/>
      </w:pPr>
      <w:r>
        <w:t>&lt;period&gt;</w:t>
      </w:r>
    </w:p>
    <w:p w:rsidR="00272186" w:rsidRDefault="00272186" w:rsidP="00272186">
      <w:pPr>
        <w:ind w:left="709" w:firstLine="709"/>
      </w:pPr>
      <w:r>
        <w:lastRenderedPageBreak/>
        <w:t>&lt;instant&gt;2024-12-31&lt;/instant&gt;</w:t>
      </w:r>
    </w:p>
    <w:p w:rsidR="00272186" w:rsidRDefault="00272186" w:rsidP="00272186">
      <w:pPr>
        <w:ind w:firstLine="709"/>
      </w:pPr>
      <w:r>
        <w:t>&lt;/period&gt;</w:t>
      </w:r>
    </w:p>
    <w:p w:rsidR="00272186" w:rsidRDefault="00272186" w:rsidP="00272186">
      <w:pPr>
        <w:ind w:left="1418"/>
      </w:pPr>
    </w:p>
    <w:p w:rsidR="00272186" w:rsidRDefault="00272186" w:rsidP="00272186">
      <w:pPr>
        <w:ind w:firstLine="709"/>
        <w:rPr>
          <w:u w:val="single"/>
        </w:rPr>
      </w:pPr>
      <w:r>
        <w:rPr>
          <w:u w:val="single"/>
        </w:rPr>
        <w:t>Format de la balise &lt;period &gt; au statut KO</w:t>
      </w:r>
    </w:p>
    <w:p w:rsidR="00272186" w:rsidRDefault="00272186" w:rsidP="00272186">
      <w:pPr>
        <w:ind w:firstLine="709"/>
        <w:rPr>
          <w:lang w:val="en-US"/>
        </w:rPr>
      </w:pPr>
      <w:r>
        <w:rPr>
          <w:lang w:val="en-US"/>
        </w:rPr>
        <w:t>&lt;period&gt;</w:t>
      </w:r>
    </w:p>
    <w:p w:rsidR="00272186" w:rsidRDefault="00272186" w:rsidP="00272186">
      <w:pPr>
        <w:ind w:left="709" w:firstLine="709"/>
        <w:rPr>
          <w:lang w:val="en-US"/>
        </w:rPr>
      </w:pPr>
      <w:r>
        <w:rPr>
          <w:lang w:val="en-US"/>
        </w:rPr>
        <w:t>&lt;instant&gt;2024-04-30&lt;/instant&gt;</w:t>
      </w:r>
    </w:p>
    <w:p w:rsidR="00272186" w:rsidRDefault="00272186" w:rsidP="00272186">
      <w:pPr>
        <w:ind w:firstLine="709"/>
      </w:pPr>
      <w:r>
        <w:t>&lt;/period&gt;</w:t>
      </w:r>
    </w:p>
    <w:p w:rsidR="00272186" w:rsidRDefault="00272186" w:rsidP="00272186">
      <w:pPr>
        <w:ind w:left="360"/>
      </w:pPr>
    </w:p>
    <w:p w:rsidR="00272186" w:rsidRDefault="00272186" w:rsidP="00272186">
      <w:pPr>
        <w:numPr>
          <w:ilvl w:val="0"/>
          <w:numId w:val="6"/>
        </w:numPr>
        <w:rPr>
          <w:u w:val="single"/>
          <w:lang w:val="en-US"/>
        </w:rPr>
      </w:pPr>
      <w:r>
        <w:rPr>
          <w:u w:val="single"/>
          <w:lang w:val="en-US"/>
        </w:rPr>
        <w:t>MREL-TLAC</w:t>
      </w:r>
    </w:p>
    <w:p w:rsidR="00272186" w:rsidRDefault="00272186" w:rsidP="00272186">
      <w:pPr>
        <w:rPr>
          <w:u w:val="single"/>
          <w:lang w:val="en-US"/>
        </w:rPr>
      </w:pPr>
    </w:p>
    <w:p w:rsidR="00272186" w:rsidRDefault="00272186" w:rsidP="00272186">
      <w:pPr>
        <w:rPr>
          <w:u w:val="single"/>
        </w:rPr>
      </w:pPr>
      <w:r>
        <w:rPr>
          <w:u w:val="single"/>
        </w:rPr>
        <w:t>Variables selon la période (trimestre) de remise</w:t>
      </w:r>
    </w:p>
    <w:p w:rsidR="00272186" w:rsidRPr="00272186" w:rsidRDefault="00272186" w:rsidP="00272186">
      <w:pPr>
        <w:rPr>
          <w:u w:val="single"/>
          <w:lang w:val="en-US"/>
        </w:rPr>
      </w:pPr>
      <w:r w:rsidRPr="00272186">
        <w:rPr>
          <w:u w:val="single"/>
          <w:lang w:val="en-US"/>
        </w:rPr>
        <w:t xml:space="preserve">Exemples : </w:t>
      </w:r>
    </w:p>
    <w:p w:rsidR="00272186" w:rsidRDefault="00272186" w:rsidP="00272186">
      <w:pPr>
        <w:rPr>
          <w:u w:val="single"/>
          <w:lang w:val="en-US"/>
        </w:rPr>
      </w:pPr>
      <w:r>
        <w:rPr>
          <w:u w:val="single"/>
          <w:lang w:val="en-US"/>
        </w:rPr>
        <w:t>09/2024 : &lt;period&gt;</w:t>
      </w:r>
    </w:p>
    <w:p w:rsidR="00272186" w:rsidRDefault="00272186" w:rsidP="00272186">
      <w:pPr>
        <w:rPr>
          <w:lang w:val="en-US"/>
        </w:rPr>
      </w:pPr>
      <w:r>
        <w:rPr>
          <w:lang w:val="en-US"/>
        </w:rPr>
        <w:tab/>
      </w:r>
      <w:r>
        <w:rPr>
          <w:lang w:val="en-US"/>
        </w:rPr>
        <w:tab/>
      </w:r>
      <w:r>
        <w:rPr>
          <w:lang w:val="en-US"/>
        </w:rPr>
        <w:tab/>
        <w:t>&lt;instant&gt;2024-09-30&lt;/instant&gt;</w:t>
      </w:r>
    </w:p>
    <w:p w:rsidR="00272186" w:rsidRDefault="00272186" w:rsidP="00272186">
      <w:pPr>
        <w:rPr>
          <w:lang w:val="en-US"/>
        </w:rPr>
      </w:pPr>
      <w:r>
        <w:rPr>
          <w:lang w:val="en-US"/>
        </w:rPr>
        <w:tab/>
      </w:r>
      <w:r>
        <w:rPr>
          <w:lang w:val="en-US"/>
        </w:rPr>
        <w:tab/>
        <w:t>&lt;/period&gt;</w:t>
      </w:r>
    </w:p>
    <w:p w:rsidR="00272186" w:rsidRDefault="00272186" w:rsidP="00272186">
      <w:pPr>
        <w:rPr>
          <w:u w:val="single"/>
          <w:lang w:val="en-US"/>
        </w:rPr>
      </w:pPr>
      <w:r>
        <w:rPr>
          <w:u w:val="single"/>
          <w:lang w:val="en-US"/>
        </w:rPr>
        <w:t>12/2024 : &lt;period&gt;</w:t>
      </w:r>
    </w:p>
    <w:p w:rsidR="00272186" w:rsidRDefault="00272186" w:rsidP="00272186">
      <w:pPr>
        <w:rPr>
          <w:lang w:val="en-US"/>
        </w:rPr>
      </w:pPr>
      <w:r>
        <w:rPr>
          <w:lang w:val="en-US"/>
        </w:rPr>
        <w:tab/>
      </w:r>
      <w:r>
        <w:rPr>
          <w:lang w:val="en-US"/>
        </w:rPr>
        <w:tab/>
      </w:r>
      <w:r>
        <w:rPr>
          <w:lang w:val="en-US"/>
        </w:rPr>
        <w:tab/>
        <w:t>&lt;instant&gt;2024-12-30&lt;/instant&gt;</w:t>
      </w:r>
    </w:p>
    <w:p w:rsidR="00272186" w:rsidRDefault="00272186" w:rsidP="00272186">
      <w:pPr>
        <w:rPr>
          <w:lang w:val="en-US"/>
        </w:rPr>
      </w:pPr>
      <w:r>
        <w:rPr>
          <w:lang w:val="en-US"/>
        </w:rPr>
        <w:tab/>
      </w:r>
      <w:r>
        <w:rPr>
          <w:lang w:val="en-US"/>
        </w:rPr>
        <w:tab/>
        <w:t>&lt;/period&gt;</w:t>
      </w:r>
    </w:p>
    <w:p w:rsidR="00272186" w:rsidRDefault="00272186" w:rsidP="00272186">
      <w:pPr>
        <w:rPr>
          <w:lang w:val="en-US"/>
        </w:rPr>
      </w:pPr>
    </w:p>
    <w:p w:rsidR="00272186" w:rsidRDefault="00272186" w:rsidP="00272186">
      <w:pPr>
        <w:numPr>
          <w:ilvl w:val="0"/>
          <w:numId w:val="6"/>
        </w:numPr>
        <w:rPr>
          <w:u w:val="single"/>
        </w:rPr>
      </w:pPr>
      <w:r>
        <w:rPr>
          <w:u w:val="single"/>
        </w:rPr>
        <w:t>Notification impraticabilité de l’article 55 BRRD</w:t>
      </w:r>
    </w:p>
    <w:p w:rsidR="00272186" w:rsidRDefault="00272186" w:rsidP="00272186">
      <w:pPr>
        <w:ind w:left="360"/>
      </w:pPr>
    </w:p>
    <w:p w:rsidR="00272186" w:rsidRDefault="00272186" w:rsidP="00272186">
      <w:pPr>
        <w:spacing w:after="240"/>
      </w:pPr>
      <w:r>
        <w:t>Variables selon la période (mensuelle) de remise, sous les mêmes conditions que MREL-TLAC</w:t>
      </w:r>
    </w:p>
    <w:p w:rsidR="00272186" w:rsidRDefault="00272186" w:rsidP="00272186">
      <w:pPr>
        <w:spacing w:after="240"/>
      </w:pPr>
    </w:p>
    <w:p w:rsidR="00272186" w:rsidRDefault="00272186" w:rsidP="00272186">
      <w:pPr>
        <w:numPr>
          <w:ilvl w:val="1"/>
          <w:numId w:val="5"/>
        </w:numPr>
        <w:ind w:left="0" w:firstLine="357"/>
        <w:outlineLvl w:val="1"/>
        <w:rPr>
          <w:b/>
          <w:u w:val="single"/>
        </w:rPr>
      </w:pPr>
      <w:bookmarkStart w:id="35" w:name="_Toc149648056"/>
      <w:r>
        <w:rPr>
          <w:b/>
          <w:u w:val="single"/>
        </w:rPr>
        <w:t>Identification des entités et niveau de consolidation</w:t>
      </w:r>
      <w:bookmarkEnd w:id="35"/>
    </w:p>
    <w:p w:rsidR="00272186" w:rsidRDefault="00272186" w:rsidP="00272186">
      <w:pPr>
        <w:pStyle w:val="CorpsTexte"/>
        <w:spacing w:before="0"/>
        <w:ind w:left="0"/>
      </w:pPr>
    </w:p>
    <w:p w:rsidR="00272186" w:rsidRDefault="00272186" w:rsidP="00272186">
      <w:pPr>
        <w:numPr>
          <w:ilvl w:val="0"/>
          <w:numId w:val="6"/>
        </w:numPr>
      </w:pPr>
      <w:r>
        <w:rPr>
          <w:szCs w:val="24"/>
          <w:u w:val="single"/>
        </w:rPr>
        <w:t xml:space="preserve">Reporting Contribution </w:t>
      </w:r>
      <w:r>
        <w:rPr>
          <w:i/>
          <w:szCs w:val="24"/>
          <w:u w:val="single"/>
        </w:rPr>
        <w:t>Ex-Ante</w:t>
      </w:r>
      <w:r>
        <w:rPr>
          <w:szCs w:val="24"/>
          <w:u w:val="single"/>
        </w:rPr>
        <w:t xml:space="preserve"> (FRU-FRN) et RESREP (LDR/CFR</w:t>
      </w:r>
      <w:r>
        <w:rPr>
          <w:rStyle w:val="Appelnotedebasdep"/>
          <w:rFonts w:eastAsiaTheme="majorEastAsia"/>
          <w:u w:val="single"/>
        </w:rPr>
        <w:footnoteReference w:id="1"/>
      </w:r>
      <w:r>
        <w:rPr>
          <w:szCs w:val="24"/>
          <w:u w:val="single"/>
        </w:rPr>
        <w:t>/FMI/CIR/MREL-TLAC/Notification impraticabilité) </w:t>
      </w:r>
    </w:p>
    <w:p w:rsidR="00272186" w:rsidRDefault="00272186" w:rsidP="00272186">
      <w:pPr>
        <w:ind w:left="1066"/>
      </w:pPr>
    </w:p>
    <w:p w:rsidR="00272186" w:rsidRDefault="00272186" w:rsidP="00272186">
      <w:r>
        <w:t xml:space="preserve">Le choix taxonomique du CRU est d’utiliser le code LEI comme référence pour valoriser la balise &lt;entity &gt;. En conséquence, la balise </w:t>
      </w:r>
      <w:r>
        <w:rPr>
          <w:b/>
          <w:u w:val="single"/>
        </w:rPr>
        <w:t>ne doit pas</w:t>
      </w:r>
      <w:r>
        <w:t xml:space="preserve"> faire référence au CIB ou au code RIAD.</w:t>
      </w:r>
    </w:p>
    <w:p w:rsidR="00272186" w:rsidRDefault="00272186" w:rsidP="00272186">
      <w:pPr>
        <w:ind w:left="360"/>
      </w:pPr>
    </w:p>
    <w:p w:rsidR="00272186" w:rsidRDefault="00272186" w:rsidP="00272186">
      <w:pPr>
        <w:numPr>
          <w:ilvl w:val="0"/>
          <w:numId w:val="7"/>
        </w:numPr>
      </w:pPr>
      <w:r>
        <w:t xml:space="preserve">Pour les collectes RESREP : depuis la campagne 2023, l’identifiant scheme doit être le suivant : </w:t>
      </w:r>
    </w:p>
    <w:p w:rsidR="00272186" w:rsidRDefault="00272186" w:rsidP="00272186">
      <w:r>
        <w:t>scheme="https://eurofiling.info/eu/rs"</w:t>
      </w:r>
    </w:p>
    <w:p w:rsidR="00272186" w:rsidRDefault="00272186" w:rsidP="00272186">
      <w:pPr>
        <w:pStyle w:val="CorpsTexte"/>
        <w:spacing w:before="0"/>
        <w:ind w:left="0"/>
      </w:pPr>
    </w:p>
    <w:p w:rsidR="00272186" w:rsidRDefault="00272186" w:rsidP="00272186">
      <w:pPr>
        <w:pStyle w:val="CorpsTexte"/>
        <w:spacing w:before="0"/>
        <w:ind w:left="0"/>
        <w:rPr>
          <w:rFonts w:ascii="Times New Roman" w:hAnsi="Times New Roman" w:cs="Times New Roman"/>
          <w:kern w:val="0"/>
          <w:sz w:val="24"/>
          <w:szCs w:val="20"/>
        </w:rPr>
      </w:pPr>
      <w:r>
        <w:rPr>
          <w:rFonts w:ascii="Times New Roman" w:hAnsi="Times New Roman" w:cs="Times New Roman"/>
          <w:kern w:val="0"/>
          <w:sz w:val="24"/>
          <w:szCs w:val="20"/>
        </w:rPr>
        <w:t>Le niveau de consolidation (point d’entrée) est à déclarer au niveau de cette balise.</w:t>
      </w:r>
    </w:p>
    <w:p w:rsidR="00272186" w:rsidRDefault="00272186" w:rsidP="00272186">
      <w:pPr>
        <w:pStyle w:val="CorpsTexte"/>
        <w:spacing w:before="0"/>
        <w:ind w:left="0"/>
        <w:rPr>
          <w:rFonts w:ascii="Times New Roman" w:hAnsi="Times New Roman" w:cs="Times New Roman"/>
          <w:kern w:val="0"/>
          <w:sz w:val="24"/>
          <w:szCs w:val="20"/>
        </w:rPr>
      </w:pPr>
    </w:p>
    <w:p w:rsidR="00272186" w:rsidRDefault="00272186" w:rsidP="00272186">
      <w:pPr>
        <w:pStyle w:val="CorpsTexte"/>
        <w:numPr>
          <w:ilvl w:val="0"/>
          <w:numId w:val="7"/>
        </w:numPr>
        <w:spacing w:before="0"/>
        <w:rPr>
          <w:rFonts w:ascii="Times New Roman" w:hAnsi="Times New Roman" w:cs="Times New Roman"/>
          <w:kern w:val="0"/>
          <w:sz w:val="24"/>
          <w:szCs w:val="20"/>
        </w:rPr>
      </w:pPr>
      <w:r>
        <w:rPr>
          <w:rFonts w:ascii="Times New Roman" w:hAnsi="Times New Roman" w:cs="Times New Roman"/>
          <w:kern w:val="0"/>
          <w:sz w:val="24"/>
          <w:szCs w:val="20"/>
        </w:rPr>
        <w:t xml:space="preserve">Pour les collectes Contribution </w:t>
      </w:r>
      <w:r>
        <w:rPr>
          <w:rFonts w:ascii="Times New Roman" w:hAnsi="Times New Roman" w:cs="Times New Roman"/>
          <w:i/>
          <w:kern w:val="0"/>
          <w:sz w:val="24"/>
          <w:szCs w:val="20"/>
        </w:rPr>
        <w:t>Ex-Ante</w:t>
      </w:r>
      <w:r>
        <w:rPr>
          <w:rFonts w:ascii="Times New Roman" w:hAnsi="Times New Roman" w:cs="Times New Roman"/>
          <w:kern w:val="0"/>
          <w:sz w:val="24"/>
          <w:szCs w:val="20"/>
        </w:rPr>
        <w:t xml:space="preserve"> (FRU-FRN) : maintien de la balise identifier des campagnes précédentes</w:t>
      </w:r>
    </w:p>
    <w:p w:rsidR="00272186" w:rsidRDefault="00272186" w:rsidP="00272186">
      <w:pPr>
        <w:pStyle w:val="CorpsTexte"/>
        <w:spacing w:before="0"/>
        <w:ind w:left="0"/>
        <w:rPr>
          <w:rFonts w:ascii="Times New Roman" w:hAnsi="Times New Roman" w:cs="Times New Roman"/>
          <w:kern w:val="0"/>
          <w:sz w:val="24"/>
          <w:szCs w:val="20"/>
        </w:rPr>
      </w:pPr>
    </w:p>
    <w:p w:rsidR="00272186" w:rsidRDefault="00272186" w:rsidP="00272186">
      <w:pPr>
        <w:pStyle w:val="CorpsTexte"/>
        <w:spacing w:before="0"/>
        <w:ind w:left="0"/>
        <w:rPr>
          <w:rFonts w:ascii="Times New Roman" w:hAnsi="Times New Roman" w:cs="Times New Roman"/>
          <w:kern w:val="0"/>
          <w:sz w:val="24"/>
          <w:szCs w:val="20"/>
        </w:rPr>
      </w:pPr>
      <w:r>
        <w:rPr>
          <w:rFonts w:ascii="Times New Roman" w:hAnsi="Times New Roman" w:cs="Times New Roman"/>
          <w:kern w:val="0"/>
          <w:sz w:val="24"/>
          <w:szCs w:val="20"/>
        </w:rPr>
        <w:t>&lt;identifier scheme="http://standards.iso.org/iso/17442"&gt;</w:t>
      </w:r>
    </w:p>
    <w:p w:rsidR="00272186" w:rsidRDefault="00272186" w:rsidP="00272186">
      <w:pPr>
        <w:pStyle w:val="CorpsTexte"/>
        <w:spacing w:before="0"/>
        <w:ind w:left="0"/>
      </w:pPr>
    </w:p>
    <w:p w:rsidR="00272186" w:rsidRDefault="00272186" w:rsidP="00272186">
      <w:pPr>
        <w:pStyle w:val="CorpsTexte"/>
        <w:spacing w:before="0"/>
        <w:ind w:left="0"/>
        <w:rPr>
          <w:rFonts w:ascii="Times New Roman" w:hAnsi="Times New Roman" w:cs="Times New Roman"/>
          <w:sz w:val="24"/>
          <w:szCs w:val="24"/>
        </w:rPr>
      </w:pPr>
      <w:r>
        <w:rPr>
          <w:rFonts w:ascii="Times New Roman" w:hAnsi="Times New Roman" w:cs="Times New Roman"/>
          <w:sz w:val="24"/>
          <w:szCs w:val="24"/>
        </w:rPr>
        <w:t>Exemple : Campagne 2025</w:t>
      </w:r>
    </w:p>
    <w:p w:rsidR="00272186" w:rsidRDefault="00272186" w:rsidP="00272186">
      <w:pPr>
        <w:pStyle w:val="CorpsTexte"/>
        <w:spacing w:before="0"/>
        <w:ind w:left="0"/>
        <w:rPr>
          <w:rFonts w:ascii="Times New Roman" w:hAnsi="Times New Roman" w:cs="Times New Roman"/>
          <w:sz w:val="24"/>
          <w:szCs w:val="24"/>
        </w:rPr>
      </w:pPr>
    </w:p>
    <w:p w:rsidR="00272186" w:rsidRDefault="00272186" w:rsidP="00272186">
      <w:pPr>
        <w:pStyle w:val="CorpsTexte"/>
        <w:spacing w:before="0"/>
        <w:ind w:left="0"/>
        <w:rPr>
          <w:rFonts w:ascii="Times New Roman" w:hAnsi="Times New Roman" w:cs="Times New Roman"/>
          <w:sz w:val="24"/>
          <w:szCs w:val="24"/>
        </w:rPr>
      </w:pPr>
      <w:r>
        <w:rPr>
          <w:rFonts w:ascii="Times New Roman" w:hAnsi="Times New Roman" w:cs="Times New Roman"/>
          <w:sz w:val="24"/>
          <w:szCs w:val="24"/>
        </w:rPr>
        <w:t xml:space="preserve">Statut OK : </w:t>
      </w:r>
    </w:p>
    <w:p w:rsidR="00272186" w:rsidRDefault="00272186" w:rsidP="00272186">
      <w:pPr>
        <w:pStyle w:val="CorpsTexte"/>
        <w:spacing w:before="0"/>
        <w:ind w:left="0"/>
        <w:rPr>
          <w:rFonts w:ascii="Times New Roman" w:hAnsi="Times New Roman" w:cs="Times New Roman"/>
          <w:color w:val="00B050"/>
          <w:sz w:val="24"/>
          <w:szCs w:val="24"/>
        </w:rPr>
      </w:pPr>
      <w:r>
        <w:rPr>
          <w:rFonts w:ascii="Times New Roman" w:hAnsi="Times New Roman" w:cs="Times New Roman"/>
          <w:sz w:val="24"/>
          <w:szCs w:val="24"/>
        </w:rPr>
        <w:lastRenderedPageBreak/>
        <w:t>collectes RESREP</w:t>
      </w:r>
    </w:p>
    <w:p w:rsidR="00272186" w:rsidRDefault="00272186" w:rsidP="00272186">
      <w:pPr>
        <w:pStyle w:val="CorpsTexte"/>
        <w:spacing w:before="0"/>
        <w:ind w:left="0"/>
        <w:rPr>
          <w:rFonts w:ascii="Times New Roman" w:hAnsi="Times New Roman" w:cs="Times New Roman"/>
          <w:sz w:val="24"/>
          <w:szCs w:val="24"/>
        </w:rPr>
      </w:pPr>
    </w:p>
    <w:p w:rsidR="00272186" w:rsidRDefault="00272186" w:rsidP="00272186">
      <w:pPr>
        <w:pStyle w:val="CorpsTexte"/>
        <w:rPr>
          <w:rFonts w:ascii="Times New Roman" w:hAnsi="Times New Roman" w:cs="Times New Roman"/>
          <w:sz w:val="24"/>
          <w:szCs w:val="24"/>
        </w:rPr>
      </w:pPr>
      <w:r>
        <w:rPr>
          <w:rFonts w:ascii="Times New Roman" w:hAnsi="Times New Roman" w:cs="Times New Roman"/>
          <w:sz w:val="24"/>
          <w:szCs w:val="24"/>
        </w:rPr>
        <w:t>&lt;xbrli:entity&gt;</w:t>
      </w:r>
    </w:p>
    <w:p w:rsidR="00272186" w:rsidRDefault="00272186" w:rsidP="00272186">
      <w:pPr>
        <w:pStyle w:val="CorpsTexte"/>
        <w:rPr>
          <w:rFonts w:ascii="Times New Roman" w:hAnsi="Times New Roman" w:cs="Times New Roman"/>
          <w:sz w:val="24"/>
          <w:szCs w:val="24"/>
        </w:rPr>
      </w:pPr>
      <w:r>
        <w:rPr>
          <w:rFonts w:ascii="Times New Roman" w:hAnsi="Times New Roman" w:cs="Times New Roman"/>
          <w:sz w:val="24"/>
          <w:szCs w:val="24"/>
        </w:rPr>
        <w:t xml:space="preserve">      &lt;xbrli:identifier scheme="https://eurofiling.info/eu/rs"&gt;ABC012345678901AT001.RES&lt;/xbrli:identifier&gt;</w:t>
      </w:r>
    </w:p>
    <w:p w:rsidR="00272186" w:rsidRDefault="00272186" w:rsidP="00272186">
      <w:pPr>
        <w:pStyle w:val="CorpsTexte"/>
        <w:spacing w:before="0"/>
        <w:ind w:left="0"/>
        <w:rPr>
          <w:rFonts w:ascii="Times New Roman" w:hAnsi="Times New Roman" w:cs="Times New Roman"/>
          <w:sz w:val="24"/>
          <w:szCs w:val="24"/>
        </w:rPr>
      </w:pPr>
      <w:r>
        <w:rPr>
          <w:rFonts w:ascii="Times New Roman" w:hAnsi="Times New Roman" w:cs="Times New Roman"/>
          <w:sz w:val="24"/>
          <w:szCs w:val="24"/>
        </w:rPr>
        <w:t xml:space="preserve">    &lt;/xbrli:entity&gt;</w:t>
      </w:r>
    </w:p>
    <w:p w:rsidR="00272186" w:rsidRDefault="00272186" w:rsidP="00272186">
      <w:pPr>
        <w:pStyle w:val="CorpsTexte"/>
        <w:spacing w:before="0"/>
        <w:ind w:left="0"/>
        <w:rPr>
          <w:rFonts w:ascii="Times New Roman" w:hAnsi="Times New Roman" w:cs="Times New Roman"/>
          <w:sz w:val="24"/>
          <w:szCs w:val="24"/>
        </w:rPr>
      </w:pPr>
      <w:r>
        <w:rPr>
          <w:rFonts w:ascii="Times New Roman" w:hAnsi="Times New Roman" w:cs="Times New Roman"/>
          <w:sz w:val="24"/>
          <w:szCs w:val="24"/>
        </w:rPr>
        <w:t>Collectes Contribution Ex-ante</w:t>
      </w:r>
    </w:p>
    <w:p w:rsidR="00272186" w:rsidRDefault="00272186" w:rsidP="00272186">
      <w:pPr>
        <w:pStyle w:val="CorpsTexte"/>
        <w:rPr>
          <w:rFonts w:ascii="Times New Roman" w:hAnsi="Times New Roman" w:cs="Times New Roman"/>
          <w:sz w:val="24"/>
          <w:szCs w:val="24"/>
        </w:rPr>
      </w:pPr>
      <w:r>
        <w:rPr>
          <w:rFonts w:ascii="Times New Roman" w:hAnsi="Times New Roman" w:cs="Times New Roman"/>
          <w:sz w:val="24"/>
          <w:szCs w:val="24"/>
        </w:rPr>
        <w:t>&lt;entity&gt;</w:t>
      </w:r>
    </w:p>
    <w:p w:rsidR="00272186" w:rsidRDefault="00272186" w:rsidP="00272186">
      <w:pPr>
        <w:pStyle w:val="CorpsTexte"/>
        <w:rPr>
          <w:rFonts w:ascii="Times New Roman" w:hAnsi="Times New Roman" w:cs="Times New Roman"/>
          <w:sz w:val="24"/>
          <w:szCs w:val="24"/>
        </w:rPr>
      </w:pPr>
      <w:r>
        <w:rPr>
          <w:rFonts w:ascii="Times New Roman" w:hAnsi="Times New Roman" w:cs="Times New Roman"/>
          <w:sz w:val="24"/>
          <w:szCs w:val="24"/>
        </w:rPr>
        <w:t>&lt;identifier scheme="http://standards.iso.org/iso/17442"&gt;R0MUWSFPU8MPRO8K5P83&lt;/identifier&gt;</w:t>
      </w:r>
    </w:p>
    <w:p w:rsidR="00272186" w:rsidRDefault="00272186" w:rsidP="00272186">
      <w:pPr>
        <w:pStyle w:val="CorpsTexte"/>
        <w:spacing w:before="0"/>
        <w:ind w:left="0"/>
        <w:rPr>
          <w:rFonts w:ascii="Times New Roman" w:hAnsi="Times New Roman" w:cs="Times New Roman"/>
          <w:sz w:val="24"/>
          <w:szCs w:val="24"/>
        </w:rPr>
      </w:pPr>
      <w:r>
        <w:rPr>
          <w:rFonts w:ascii="Times New Roman" w:hAnsi="Times New Roman" w:cs="Times New Roman"/>
          <w:sz w:val="24"/>
          <w:szCs w:val="24"/>
        </w:rPr>
        <w:t>&lt;/entity&gt;</w:t>
      </w:r>
    </w:p>
    <w:p w:rsidR="00272186" w:rsidRDefault="00272186" w:rsidP="00272186">
      <w:pPr>
        <w:pStyle w:val="CorpsTexte"/>
        <w:spacing w:before="0"/>
        <w:ind w:left="0"/>
        <w:rPr>
          <w:rFonts w:ascii="Times New Roman" w:hAnsi="Times New Roman" w:cs="Times New Roman"/>
          <w:sz w:val="24"/>
          <w:szCs w:val="24"/>
        </w:rPr>
      </w:pPr>
    </w:p>
    <w:p w:rsidR="00272186" w:rsidRDefault="00272186" w:rsidP="00272186">
      <w:pPr>
        <w:pStyle w:val="CorpsTexte"/>
        <w:keepNext/>
        <w:spacing w:before="0"/>
        <w:ind w:left="0"/>
        <w:rPr>
          <w:rFonts w:ascii="Times New Roman" w:hAnsi="Times New Roman" w:cs="Times New Roman"/>
          <w:sz w:val="24"/>
          <w:szCs w:val="24"/>
        </w:rPr>
      </w:pPr>
      <w:r>
        <w:rPr>
          <w:rFonts w:ascii="Times New Roman" w:hAnsi="Times New Roman" w:cs="Times New Roman"/>
          <w:sz w:val="24"/>
          <w:szCs w:val="24"/>
        </w:rPr>
        <w:t>Statut KO</w:t>
      </w:r>
    </w:p>
    <w:p w:rsidR="00272186" w:rsidRDefault="00272186" w:rsidP="00272186">
      <w:pPr>
        <w:pStyle w:val="CorpsTexte"/>
        <w:keepNext/>
        <w:rPr>
          <w:rFonts w:ascii="Times New Roman" w:hAnsi="Times New Roman" w:cs="Times New Roman"/>
          <w:sz w:val="24"/>
          <w:szCs w:val="24"/>
        </w:rPr>
      </w:pPr>
      <w:r>
        <w:rPr>
          <w:rFonts w:ascii="Times New Roman" w:hAnsi="Times New Roman" w:cs="Times New Roman"/>
          <w:sz w:val="24"/>
          <w:szCs w:val="24"/>
        </w:rPr>
        <w:t>&lt;entity&gt;</w:t>
      </w:r>
    </w:p>
    <w:p w:rsidR="00272186" w:rsidRDefault="00272186" w:rsidP="00272186">
      <w:pPr>
        <w:pStyle w:val="CorpsTexte"/>
        <w:keepNext/>
        <w:rPr>
          <w:rFonts w:ascii="Times New Roman" w:hAnsi="Times New Roman" w:cs="Times New Roman"/>
          <w:sz w:val="24"/>
          <w:szCs w:val="24"/>
        </w:rPr>
      </w:pPr>
      <w:r>
        <w:rPr>
          <w:rFonts w:ascii="Times New Roman" w:hAnsi="Times New Roman" w:cs="Times New Roman"/>
          <w:sz w:val="24"/>
          <w:szCs w:val="24"/>
        </w:rPr>
        <w:t>&lt;identifier scheme="http://standards.iso.org/iso/17442"&gt;30001&lt;/identifier&gt;</w:t>
      </w:r>
    </w:p>
    <w:p w:rsidR="00272186" w:rsidRDefault="00272186" w:rsidP="00272186">
      <w:pPr>
        <w:pStyle w:val="CorpsTexte"/>
        <w:keepNext/>
        <w:spacing w:before="0"/>
        <w:ind w:left="0"/>
        <w:rPr>
          <w:rFonts w:ascii="Times New Roman" w:hAnsi="Times New Roman" w:cs="Times New Roman"/>
          <w:sz w:val="24"/>
          <w:szCs w:val="24"/>
        </w:rPr>
      </w:pPr>
      <w:r>
        <w:rPr>
          <w:rFonts w:ascii="Times New Roman" w:hAnsi="Times New Roman" w:cs="Times New Roman"/>
          <w:sz w:val="24"/>
          <w:szCs w:val="24"/>
        </w:rPr>
        <w:t>&lt;/entity&gt;</w:t>
      </w:r>
    </w:p>
    <w:p w:rsidR="00272186" w:rsidRDefault="00272186" w:rsidP="00272186">
      <w:pPr>
        <w:pStyle w:val="CorpsTexte"/>
        <w:keepNext/>
        <w:rPr>
          <w:rFonts w:ascii="Times New Roman" w:hAnsi="Times New Roman" w:cs="Times New Roman"/>
          <w:sz w:val="24"/>
          <w:szCs w:val="24"/>
        </w:rPr>
      </w:pPr>
      <w:r>
        <w:rPr>
          <w:rFonts w:ascii="Times New Roman" w:hAnsi="Times New Roman" w:cs="Times New Roman"/>
          <w:sz w:val="24"/>
          <w:szCs w:val="24"/>
        </w:rPr>
        <w:t>&lt;entity&gt;</w:t>
      </w:r>
    </w:p>
    <w:p w:rsidR="00272186" w:rsidRDefault="00272186" w:rsidP="00272186">
      <w:pPr>
        <w:pStyle w:val="CorpsTexte"/>
        <w:keepNext/>
        <w:rPr>
          <w:rFonts w:ascii="Times New Roman" w:hAnsi="Times New Roman" w:cs="Times New Roman"/>
          <w:sz w:val="24"/>
          <w:szCs w:val="24"/>
        </w:rPr>
      </w:pPr>
      <w:r>
        <w:rPr>
          <w:rFonts w:ascii="Times New Roman" w:hAnsi="Times New Roman" w:cs="Times New Roman"/>
          <w:sz w:val="24"/>
          <w:szCs w:val="24"/>
        </w:rPr>
        <w:t>&lt;identifier scheme="http://standards.iso.org/iso/17442"&gt;FR30001&lt;/identifier&gt;</w:t>
      </w:r>
    </w:p>
    <w:p w:rsidR="00272186" w:rsidRDefault="00272186" w:rsidP="00272186">
      <w:pPr>
        <w:pStyle w:val="CorpsTexte"/>
        <w:keepNext/>
        <w:spacing w:before="0"/>
        <w:ind w:left="0"/>
        <w:rPr>
          <w:rFonts w:ascii="Times New Roman" w:hAnsi="Times New Roman" w:cs="Times New Roman"/>
          <w:sz w:val="24"/>
          <w:szCs w:val="24"/>
        </w:rPr>
      </w:pPr>
      <w:r>
        <w:rPr>
          <w:rFonts w:ascii="Times New Roman" w:hAnsi="Times New Roman" w:cs="Times New Roman"/>
          <w:sz w:val="24"/>
          <w:szCs w:val="24"/>
        </w:rPr>
        <w:t>&lt;/entity&gt;</w:t>
      </w:r>
    </w:p>
    <w:p w:rsidR="00272186" w:rsidRDefault="00272186" w:rsidP="00272186">
      <w:pPr>
        <w:pStyle w:val="CorpsTexte"/>
        <w:spacing w:before="0"/>
        <w:ind w:left="0"/>
      </w:pPr>
    </w:p>
    <w:p w:rsidR="00272186" w:rsidRDefault="00272186" w:rsidP="00272186">
      <w:pPr>
        <w:numPr>
          <w:ilvl w:val="1"/>
          <w:numId w:val="5"/>
        </w:numPr>
        <w:spacing w:before="240" w:after="60"/>
        <w:ind w:left="1066" w:hanging="357"/>
        <w:outlineLvl w:val="1"/>
        <w:rPr>
          <w:b/>
          <w:u w:val="single"/>
        </w:rPr>
      </w:pPr>
      <w:bookmarkStart w:id="36" w:name="_Toc149648057"/>
      <w:r>
        <w:rPr>
          <w:b/>
          <w:u w:val="single"/>
        </w:rPr>
        <w:t>Schéma ref</w:t>
      </w:r>
      <w:bookmarkEnd w:id="36"/>
    </w:p>
    <w:p w:rsidR="00272186" w:rsidRDefault="00272186" w:rsidP="00272186">
      <w:pPr>
        <w:ind w:left="709"/>
      </w:pPr>
    </w:p>
    <w:p w:rsidR="00272186" w:rsidRDefault="00272186" w:rsidP="00272186">
      <w:pPr>
        <w:numPr>
          <w:ilvl w:val="0"/>
          <w:numId w:val="6"/>
        </w:numPr>
        <w:ind w:left="709"/>
        <w:rPr>
          <w:i/>
          <w:iCs/>
        </w:rPr>
      </w:pPr>
      <w:r>
        <w:rPr>
          <w:szCs w:val="24"/>
          <w:u w:val="single"/>
        </w:rPr>
        <w:t xml:space="preserve">Reporting Contribution </w:t>
      </w:r>
      <w:r>
        <w:rPr>
          <w:i/>
          <w:szCs w:val="24"/>
          <w:u w:val="single"/>
        </w:rPr>
        <w:t>Ex-Ante</w:t>
      </w:r>
      <w:r>
        <w:rPr>
          <w:szCs w:val="24"/>
          <w:u w:val="single"/>
        </w:rPr>
        <w:t> (SRF)</w:t>
      </w:r>
      <w:r>
        <w:rPr>
          <w:szCs w:val="24"/>
        </w:rPr>
        <w:t xml:space="preserve"> p</w:t>
      </w:r>
      <w:r>
        <w:t xml:space="preserve">our la taxonomie </w:t>
      </w:r>
      <w:r>
        <w:rPr>
          <w:i/>
          <w:iCs/>
        </w:rPr>
        <w:t>SRF 10.0.1</w:t>
      </w:r>
    </w:p>
    <w:p w:rsidR="00272186" w:rsidRDefault="00272186" w:rsidP="00272186"/>
    <w:p w:rsidR="00272186" w:rsidRDefault="00272186" w:rsidP="00272186">
      <w:pPr>
        <w:rPr>
          <w:lang w:val="en-US"/>
        </w:rPr>
      </w:pPr>
      <w:r>
        <w:rPr>
          <w:lang w:val="en-US"/>
        </w:rPr>
        <w:t>link:schemaRef xlink:type="simple" xlink:href="http://www.srb.europa.eu/eu/fr/xbrl/fws/srf/eu-2015-63/2023-06-13/mod/eac-ind.xsd"/&gt;</w:t>
      </w:r>
    </w:p>
    <w:p w:rsidR="00272186" w:rsidRDefault="00272186" w:rsidP="00272186">
      <w:pPr>
        <w:rPr>
          <w:lang w:val="en-US"/>
        </w:rPr>
      </w:pPr>
    </w:p>
    <w:p w:rsidR="00272186" w:rsidRDefault="00272186" w:rsidP="00272186">
      <w:pPr>
        <w:numPr>
          <w:ilvl w:val="0"/>
          <w:numId w:val="8"/>
        </w:numPr>
      </w:pPr>
      <w:r>
        <w:rPr>
          <w:szCs w:val="24"/>
          <w:u w:val="single"/>
        </w:rPr>
        <w:t>Collecte RESREP</w:t>
      </w:r>
      <w:r>
        <w:t xml:space="preserve"> pour la taxonomie 9.0.3</w:t>
      </w:r>
    </w:p>
    <w:p w:rsidR="00272186" w:rsidRDefault="00272186" w:rsidP="00272186">
      <w:pPr>
        <w:ind w:left="720"/>
      </w:pPr>
    </w:p>
    <w:p w:rsidR="00272186" w:rsidRDefault="00272186" w:rsidP="00272186">
      <w:r>
        <w:t xml:space="preserve">Depuis la campagne 2023, la balise Schema-ref ne contiendra plus le niveau de consolidation du reporting. Cette information sera dorénavant portée par la balise Entity </w:t>
      </w:r>
      <w:r>
        <w:rPr>
          <w:i/>
        </w:rPr>
        <w:t>(cf. point 3.4).</w:t>
      </w:r>
    </w:p>
    <w:p w:rsidR="00272186" w:rsidRDefault="00272186" w:rsidP="00272186"/>
    <w:p w:rsidR="00272186" w:rsidRDefault="00272186" w:rsidP="00272186">
      <w:r>
        <w:t>Balises à utiliser pour les remises RESREP (CFR ; LDR ; FMI ; CIR) :</w:t>
      </w:r>
    </w:p>
    <w:p w:rsidR="00272186" w:rsidRDefault="00272186" w:rsidP="00272186"/>
    <w:p w:rsidR="00272186" w:rsidRPr="00272186" w:rsidRDefault="00272186" w:rsidP="00272186">
      <w:pPr>
        <w:numPr>
          <w:ilvl w:val="0"/>
          <w:numId w:val="2"/>
        </w:numPr>
        <w:rPr>
          <w:lang w:val="en-US"/>
        </w:rPr>
      </w:pPr>
      <w:r>
        <w:rPr>
          <w:lang w:val="en-US"/>
        </w:rPr>
        <w:t>LDR</w:t>
      </w:r>
    </w:p>
    <w:p w:rsidR="00272186" w:rsidRDefault="00272186" w:rsidP="00272186">
      <w:pPr>
        <w:rPr>
          <w:lang w:val="en-US"/>
        </w:rPr>
      </w:pPr>
      <w:r>
        <w:rPr>
          <w:lang w:val="en-US"/>
        </w:rPr>
        <w:t>xlink:href="http://www.srb.europa.eu/eu/fr/xbrl/fws/res/cp-2017-15/2024-07-15/mod/ldr.xsd</w:t>
      </w:r>
    </w:p>
    <w:p w:rsidR="00272186" w:rsidRDefault="00272186" w:rsidP="00272186">
      <w:pPr>
        <w:rPr>
          <w:lang w:val="en-US"/>
        </w:rPr>
      </w:pPr>
    </w:p>
    <w:p w:rsidR="00272186" w:rsidRPr="00272186" w:rsidRDefault="00272186" w:rsidP="00272186">
      <w:pPr>
        <w:numPr>
          <w:ilvl w:val="0"/>
          <w:numId w:val="2"/>
        </w:numPr>
        <w:rPr>
          <w:lang w:val="en-US"/>
        </w:rPr>
      </w:pPr>
      <w:r>
        <w:rPr>
          <w:lang w:val="en-US"/>
        </w:rPr>
        <w:t>CIR</w:t>
      </w:r>
    </w:p>
    <w:p w:rsidR="00272186" w:rsidRDefault="00272186" w:rsidP="00272186">
      <w:pPr>
        <w:rPr>
          <w:lang w:val="en-US"/>
        </w:rPr>
      </w:pPr>
      <w:r>
        <w:rPr>
          <w:lang w:val="en-US"/>
        </w:rPr>
        <w:t>xlink:href=</w:t>
      </w:r>
      <w:hyperlink r:id="rId42" w:history="1">
        <w:r w:rsidRPr="00973E06">
          <w:rPr>
            <w:rStyle w:val="Lienhypertexte"/>
            <w:lang w:val="en-US"/>
          </w:rPr>
          <w:t>http://www.srb.europa.eu/eu/fr/xbrl/fws/res/cp-2017-15/2024-07-15/mod/cir.xsd</w:t>
        </w:r>
      </w:hyperlink>
    </w:p>
    <w:p w:rsidR="00272186" w:rsidRDefault="00272186" w:rsidP="00272186">
      <w:pPr>
        <w:rPr>
          <w:lang w:val="en-US"/>
        </w:rPr>
      </w:pPr>
    </w:p>
    <w:p w:rsidR="00272186" w:rsidRDefault="00272186" w:rsidP="00272186">
      <w:pPr>
        <w:numPr>
          <w:ilvl w:val="0"/>
          <w:numId w:val="2"/>
        </w:numPr>
        <w:rPr>
          <w:lang w:val="en-US"/>
        </w:rPr>
      </w:pPr>
      <w:r>
        <w:rPr>
          <w:lang w:val="en-US"/>
        </w:rPr>
        <w:t>CFR</w:t>
      </w:r>
    </w:p>
    <w:p w:rsidR="00272186" w:rsidRDefault="00272186" w:rsidP="00272186">
      <w:pPr>
        <w:rPr>
          <w:lang w:val="en-US"/>
        </w:rPr>
      </w:pPr>
      <w:r>
        <w:rPr>
          <w:lang w:val="en-US"/>
        </w:rPr>
        <w:t>xlink:href="http://www.srb.europa.eu/eu/fr/xbrl/fws/res/cp-2017-15/2024-07-15/mod/cfr.xsd</w:t>
      </w:r>
    </w:p>
    <w:p w:rsidR="00272186" w:rsidRDefault="00272186" w:rsidP="00272186">
      <w:pPr>
        <w:rPr>
          <w:lang w:val="en-US"/>
        </w:rPr>
      </w:pPr>
    </w:p>
    <w:p w:rsidR="00272186" w:rsidRDefault="00272186" w:rsidP="00272186">
      <w:pPr>
        <w:rPr>
          <w:lang w:val="en-US"/>
        </w:rPr>
      </w:pPr>
    </w:p>
    <w:p w:rsidR="00272186" w:rsidRDefault="00272186" w:rsidP="00272186">
      <w:pPr>
        <w:rPr>
          <w:lang w:val="en-US"/>
        </w:rPr>
      </w:pPr>
    </w:p>
    <w:p w:rsidR="00272186" w:rsidRDefault="00272186" w:rsidP="00272186">
      <w:pPr>
        <w:numPr>
          <w:ilvl w:val="0"/>
          <w:numId w:val="2"/>
        </w:numPr>
        <w:rPr>
          <w:lang w:val="en-US"/>
        </w:rPr>
      </w:pPr>
      <w:r>
        <w:rPr>
          <w:lang w:val="en-US"/>
        </w:rPr>
        <w:t>FMIR</w:t>
      </w:r>
    </w:p>
    <w:p w:rsidR="00272186" w:rsidRDefault="00272186" w:rsidP="00272186">
      <w:pPr>
        <w:rPr>
          <w:lang w:val="en-US"/>
        </w:rPr>
      </w:pPr>
      <w:r>
        <w:rPr>
          <w:lang w:val="en-US"/>
        </w:rPr>
        <w:t>xlink:href="http://www.srb.europa.eu/eu/fr/xbrl/fws/res/cp-2017-15/2024-07-15/mod/fmir.xsd</w:t>
      </w:r>
    </w:p>
    <w:p w:rsidR="00272186" w:rsidRDefault="00272186" w:rsidP="00272186">
      <w:pPr>
        <w:rPr>
          <w:lang w:val="en-US"/>
        </w:rPr>
      </w:pPr>
    </w:p>
    <w:p w:rsidR="00272186" w:rsidRDefault="00272186" w:rsidP="00272186">
      <w:pPr>
        <w:numPr>
          <w:ilvl w:val="0"/>
          <w:numId w:val="8"/>
        </w:numPr>
      </w:pPr>
      <w:r>
        <w:rPr>
          <w:szCs w:val="24"/>
          <w:u w:val="single"/>
        </w:rPr>
        <w:t xml:space="preserve">Collecte MREL-TLAC </w:t>
      </w:r>
    </w:p>
    <w:p w:rsidR="00272186" w:rsidRDefault="00272186" w:rsidP="00272186">
      <w:pPr>
        <w:numPr>
          <w:ilvl w:val="1"/>
          <w:numId w:val="8"/>
        </w:numPr>
      </w:pPr>
      <w:r>
        <w:t>pour la taxonomie EBA 3.3</w:t>
      </w:r>
    </w:p>
    <w:p w:rsidR="00272186" w:rsidRDefault="00272186" w:rsidP="00272186">
      <w:pPr>
        <w:ind w:left="720"/>
      </w:pPr>
    </w:p>
    <w:p w:rsidR="00272186" w:rsidRDefault="00272186" w:rsidP="00272186">
      <w:pPr>
        <w:rPr>
          <w:lang w:val="en-US"/>
        </w:rPr>
      </w:pPr>
      <w:r>
        <w:rPr>
          <w:lang w:val="en-US"/>
        </w:rPr>
        <w:t>&lt;link:schemaRef xlink:type="simple" xlink:href="http://www.eba.europa.eu/eu/fr/xbrl/crr/fws/mrel/its-006-2020/2022-06-01/mod/mrel_tlac.xsd"/&gt;</w:t>
      </w:r>
    </w:p>
    <w:p w:rsidR="00272186" w:rsidRDefault="00272186" w:rsidP="00272186">
      <w:pPr>
        <w:numPr>
          <w:ilvl w:val="0"/>
          <w:numId w:val="9"/>
        </w:numPr>
        <w:rPr>
          <w:lang w:val="en-US"/>
        </w:rPr>
      </w:pPr>
      <w:r>
        <w:rPr>
          <w:lang w:val="en-US"/>
        </w:rPr>
        <w:t>Pour la taxonomie 3.5</w:t>
      </w:r>
    </w:p>
    <w:p w:rsidR="00272186" w:rsidRDefault="00272186" w:rsidP="00272186">
      <w:pPr>
        <w:rPr>
          <w:lang w:val="en-US"/>
        </w:rPr>
      </w:pPr>
    </w:p>
    <w:p w:rsidR="00272186" w:rsidRDefault="00272186" w:rsidP="00272186">
      <w:pPr>
        <w:rPr>
          <w:lang w:val="en-US"/>
        </w:rPr>
      </w:pPr>
      <w:r>
        <w:rPr>
          <w:lang w:val="en-US"/>
        </w:rPr>
        <w:t>xlink:href="http://www.eba.europa.eu/eu/fr/xbrl/crr/fws/mrel/its-006-2020/2024-07-11/mod/mrel_tlac.xsd</w:t>
      </w:r>
    </w:p>
    <w:p w:rsidR="00272186" w:rsidRDefault="00272186" w:rsidP="00272186">
      <w:pPr>
        <w:keepNext/>
        <w:numPr>
          <w:ilvl w:val="0"/>
          <w:numId w:val="8"/>
        </w:numPr>
      </w:pPr>
      <w:r>
        <w:rPr>
          <w:szCs w:val="24"/>
          <w:u w:val="single"/>
        </w:rPr>
        <w:t xml:space="preserve">Collecte IMPRACTICABILITY </w:t>
      </w:r>
      <w:r>
        <w:t>pour la taxonomie EBA 3.3</w:t>
      </w:r>
    </w:p>
    <w:p w:rsidR="00272186" w:rsidRDefault="00272186" w:rsidP="00272186">
      <w:pPr>
        <w:keepNext/>
        <w:ind w:left="720"/>
      </w:pPr>
    </w:p>
    <w:p w:rsidR="00272186" w:rsidRDefault="00272186" w:rsidP="00272186">
      <w:pPr>
        <w:keepNext/>
        <w:rPr>
          <w:lang w:val="en-US"/>
        </w:rPr>
      </w:pPr>
      <w:r>
        <w:rPr>
          <w:lang w:val="en-US"/>
        </w:rPr>
        <w:t>&lt;link:schemaRef xlink:type="simple" xlink:href="http://www.eba.europa.eu/eu/fr/xbrl/crr/fws/imprac/its-009-2020/2022-06-01/mod/notif_impracticability.xsd"/&gt;</w:t>
      </w:r>
    </w:p>
    <w:p w:rsidR="00272186" w:rsidRDefault="00272186" w:rsidP="00272186">
      <w:pPr>
        <w:ind w:left="1789"/>
        <w:rPr>
          <w:lang w:val="en-US"/>
        </w:rPr>
      </w:pPr>
    </w:p>
    <w:p w:rsidR="00272186" w:rsidRDefault="00272186" w:rsidP="00272186">
      <w:pPr>
        <w:numPr>
          <w:ilvl w:val="1"/>
          <w:numId w:val="5"/>
        </w:numPr>
        <w:spacing w:before="240" w:after="60"/>
        <w:ind w:left="1066" w:hanging="357"/>
        <w:outlineLvl w:val="1"/>
        <w:rPr>
          <w:b/>
          <w:u w:val="single"/>
        </w:rPr>
      </w:pPr>
      <w:r>
        <w:rPr>
          <w:b/>
          <w:u w:val="single"/>
          <w:lang w:val="en-US"/>
        </w:rPr>
        <w:t> </w:t>
      </w:r>
      <w:bookmarkStart w:id="37" w:name="_Toc149648058"/>
      <w:r>
        <w:rPr>
          <w:b/>
          <w:u w:val="single"/>
        </w:rPr>
        <w:t>Niveau de consolidation à déclarer</w:t>
      </w:r>
      <w:bookmarkEnd w:id="37"/>
    </w:p>
    <w:p w:rsidR="00272186" w:rsidRDefault="00272186" w:rsidP="00272186">
      <w:pPr>
        <w:ind w:firstLine="142"/>
      </w:pPr>
      <w:r>
        <w:t>Pour les collectes ci-dessous : les points d’entrées acceptées seront les suivants :</w:t>
      </w:r>
    </w:p>
    <w:p w:rsidR="00272186" w:rsidRDefault="00272186" w:rsidP="00272186">
      <w:pPr>
        <w:ind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37"/>
        <w:gridCol w:w="1333"/>
        <w:gridCol w:w="1342"/>
        <w:gridCol w:w="1254"/>
        <w:gridCol w:w="1350"/>
        <w:gridCol w:w="1240"/>
      </w:tblGrid>
      <w:tr w:rsidR="00272186" w:rsidTr="00272186">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IND</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INDPOE</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INDOTH</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CON</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CONPOE</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RES</w:t>
            </w:r>
          </w:p>
        </w:tc>
      </w:tr>
      <w:tr w:rsidR="00272186" w:rsidTr="00272186">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LDR</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r>
      <w:tr w:rsidR="00272186" w:rsidTr="00272186">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CFR</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r>
      <w:tr w:rsidR="00272186" w:rsidTr="00272186">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FMIR</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r>
      <w:tr w:rsidR="00272186" w:rsidTr="00272186">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CIR</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r>
      <w:tr w:rsidR="00272186" w:rsidTr="00272186">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MREL-TLAC</w:t>
            </w: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hideMark/>
          </w:tcPr>
          <w:p w:rsidR="00272186" w:rsidRDefault="00272186">
            <w:pPr>
              <w:jc w:val="center"/>
            </w:pPr>
            <w:r>
              <w:t>X</w:t>
            </w: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c>
          <w:tcPr>
            <w:tcW w:w="1397" w:type="dxa"/>
            <w:tcBorders>
              <w:top w:val="single" w:sz="4" w:space="0" w:color="auto"/>
              <w:left w:val="single" w:sz="4" w:space="0" w:color="auto"/>
              <w:bottom w:val="single" w:sz="4" w:space="0" w:color="auto"/>
              <w:right w:val="single" w:sz="4" w:space="0" w:color="auto"/>
            </w:tcBorders>
          </w:tcPr>
          <w:p w:rsidR="00272186" w:rsidRDefault="00272186">
            <w:pPr>
              <w:jc w:val="center"/>
            </w:pPr>
          </w:p>
        </w:tc>
      </w:tr>
    </w:tbl>
    <w:p w:rsidR="00272186" w:rsidRDefault="00272186" w:rsidP="00272186">
      <w:pPr>
        <w:ind w:firstLine="142"/>
      </w:pPr>
    </w:p>
    <w:p w:rsidR="00272186" w:rsidRDefault="00272186" w:rsidP="00272186">
      <w:pPr>
        <w:ind w:firstLine="142"/>
        <w:jc w:val="both"/>
      </w:pPr>
      <w:r>
        <w:t>Le périmètre des établissements attendus pour remettre ces collectes est défini directement par l’IRT (Internal resolution team). Veuillez vous rapprocher de votre coordinateur à l’ACPR pour toute question sur la liste des établissements et le type de déclaration attendu.</w:t>
      </w:r>
    </w:p>
    <w:p w:rsidR="00272186" w:rsidRDefault="00272186" w:rsidP="00272186">
      <w:pPr>
        <w:numPr>
          <w:ilvl w:val="1"/>
          <w:numId w:val="5"/>
        </w:numPr>
        <w:spacing w:before="240" w:after="60"/>
        <w:ind w:left="1066" w:hanging="357"/>
        <w:outlineLvl w:val="1"/>
        <w:rPr>
          <w:b/>
          <w:u w:val="single"/>
        </w:rPr>
      </w:pPr>
      <w:bookmarkStart w:id="38" w:name="_Toc149648059"/>
      <w:r>
        <w:rPr>
          <w:b/>
          <w:u w:val="single"/>
        </w:rPr>
        <w:t>Filing rules pour les remises FRU / FRN</w:t>
      </w:r>
      <w:bookmarkEnd w:id="38"/>
      <w:r>
        <w:rPr>
          <w:b/>
          <w:u w:val="single"/>
        </w:rPr>
        <w:t xml:space="preserve"> </w:t>
      </w:r>
    </w:p>
    <w:p w:rsidR="00272186" w:rsidRDefault="00272186" w:rsidP="00272186">
      <w:pPr>
        <w:spacing w:before="240" w:after="60"/>
      </w:pPr>
      <w:r>
        <w:t>Toutes les tables sont attendues pour cette collecte. En effet, dans le document «SRB XBRL Filing rules for the 2025 contribution collection » disponible sur le site du CRU, il est indiqué :</w:t>
      </w:r>
    </w:p>
    <w:p w:rsidR="00272186" w:rsidRDefault="00272186" w:rsidP="00272186">
      <w:pPr>
        <w:spacing w:before="120"/>
        <w:rPr>
          <w:i/>
          <w:lang w:val="en-US"/>
        </w:rPr>
      </w:pPr>
      <w:r>
        <w:rPr>
          <w:i/>
          <w:lang w:val="en-US"/>
        </w:rPr>
        <w:t>“The XBRL instance must contain the 4 filing Indicators</w:t>
      </w:r>
    </w:p>
    <w:p w:rsidR="00272186" w:rsidRDefault="00272186" w:rsidP="00272186">
      <w:pPr>
        <w:spacing w:before="120"/>
        <w:rPr>
          <w:i/>
          <w:lang w:val="en-US"/>
        </w:rPr>
      </w:pPr>
      <w:r>
        <w:rPr>
          <w:i/>
          <w:lang w:val="en-US"/>
        </w:rPr>
        <w:t>&lt;find:fIndicators&gt;</w:t>
      </w:r>
    </w:p>
    <w:p w:rsidR="00272186" w:rsidRDefault="00272186" w:rsidP="00272186">
      <w:pPr>
        <w:spacing w:before="120"/>
        <w:rPr>
          <w:i/>
          <w:lang w:val="en-US"/>
        </w:rPr>
      </w:pPr>
      <w:r>
        <w:rPr>
          <w:i/>
          <w:lang w:val="en-US"/>
        </w:rPr>
        <w:t>&lt;find:filingIndicator contextRef="C1"&gt;f_01&lt;/find:filingIndicator&gt;</w:t>
      </w:r>
    </w:p>
    <w:p w:rsidR="00272186" w:rsidRDefault="00272186" w:rsidP="00272186">
      <w:pPr>
        <w:spacing w:before="120"/>
        <w:rPr>
          <w:i/>
          <w:lang w:val="en-US"/>
        </w:rPr>
      </w:pPr>
      <w:r>
        <w:rPr>
          <w:i/>
          <w:lang w:val="en-US"/>
        </w:rPr>
        <w:t>&lt;find:filingIndicator contextRef="C1"&gt;f_02&lt;/find:filingIndicator&gt;</w:t>
      </w:r>
    </w:p>
    <w:p w:rsidR="00272186" w:rsidRDefault="00272186" w:rsidP="00272186">
      <w:pPr>
        <w:spacing w:before="120"/>
        <w:rPr>
          <w:i/>
          <w:lang w:val="en-US"/>
        </w:rPr>
      </w:pPr>
      <w:r>
        <w:rPr>
          <w:i/>
          <w:lang w:val="en-US"/>
        </w:rPr>
        <w:t>&lt;find:filingIndicator contextRef="C1"&gt;f_03&lt;/find:filingIndicator&gt;</w:t>
      </w:r>
    </w:p>
    <w:p w:rsidR="00272186" w:rsidRDefault="00272186" w:rsidP="00272186">
      <w:pPr>
        <w:spacing w:before="120"/>
        <w:rPr>
          <w:i/>
          <w:lang w:val="en-US"/>
        </w:rPr>
      </w:pPr>
      <w:r>
        <w:rPr>
          <w:i/>
          <w:lang w:val="en-US"/>
        </w:rPr>
        <w:lastRenderedPageBreak/>
        <w:t>&lt;find:filingIndicator contextRef="C1"&gt;f_04&lt;/find:filingIndicator&gt;</w:t>
      </w:r>
    </w:p>
    <w:p w:rsidR="00272186" w:rsidRDefault="00272186" w:rsidP="00272186">
      <w:pPr>
        <w:spacing w:before="120"/>
        <w:rPr>
          <w:i/>
        </w:rPr>
      </w:pPr>
      <w:r>
        <w:rPr>
          <w:i/>
        </w:rPr>
        <w:t>&lt;/find:fIndicators</w:t>
      </w:r>
    </w:p>
    <w:p w:rsidR="00272186" w:rsidRDefault="00272186" w:rsidP="00272186">
      <w:pPr>
        <w:spacing w:before="240" w:after="60"/>
        <w:jc w:val="both"/>
      </w:pPr>
      <w:r>
        <w:t xml:space="preserve">En conséquence, même si un établissement est soumis à la contribution forfaitaire et n’a pas d’information à fournir en f03 et f04, les tables sont à déclarer avec l’indicateur « filingindicator » à « true » mais sans déclarer de données pour ces onglets. À défaut, la remise sera rejetée. Il n’y a pas de table optionnelle dans cette remise. </w:t>
      </w:r>
    </w:p>
    <w:p w:rsidR="00272186" w:rsidRDefault="00272186" w:rsidP="00272186">
      <w:pPr>
        <w:spacing w:before="240" w:after="60"/>
        <w:jc w:val="both"/>
      </w:pPr>
      <w:r>
        <w:t>Cette règle est égal</w:t>
      </w:r>
      <w:bookmarkStart w:id="39" w:name="_GoBack"/>
      <w:bookmarkEnd w:id="39"/>
      <w:r>
        <w:t>ement valable pour les établissements assujettis au FRN.</w:t>
      </w:r>
    </w:p>
    <w:p w:rsidR="00272186" w:rsidRDefault="00272186" w:rsidP="00272186">
      <w:pPr>
        <w:keepNext/>
        <w:numPr>
          <w:ilvl w:val="1"/>
          <w:numId w:val="5"/>
        </w:numPr>
        <w:spacing w:before="240" w:after="60"/>
        <w:ind w:left="1066" w:hanging="357"/>
        <w:outlineLvl w:val="1"/>
        <w:rPr>
          <w:b/>
          <w:u w:val="single"/>
        </w:rPr>
      </w:pPr>
      <w:bookmarkStart w:id="40" w:name="_Toc149648060"/>
      <w:r>
        <w:rPr>
          <w:b/>
          <w:u w:val="single"/>
        </w:rPr>
        <w:lastRenderedPageBreak/>
        <w:t>Filing rules pour LDR, CFR, FMIR et CIR</w:t>
      </w:r>
      <w:bookmarkEnd w:id="40"/>
    </w:p>
    <w:p w:rsidR="00272186" w:rsidRDefault="00272186" w:rsidP="00272186">
      <w:pPr>
        <w:keepNext/>
      </w:pPr>
    </w:p>
    <w:p w:rsidR="00272186" w:rsidRDefault="00272186" w:rsidP="00272186">
      <w:pPr>
        <w:keepNext/>
      </w:pPr>
      <w:r>
        <w:t xml:space="preserve">Voir le </w:t>
      </w:r>
      <w:hyperlink r:id="rId43" w:history="1">
        <w:r>
          <w:rPr>
            <w:rStyle w:val="Lienhypertexte"/>
            <w:rFonts w:eastAsiaTheme="majorEastAsia"/>
          </w:rPr>
          <w:t>document de synthèse</w:t>
        </w:r>
      </w:hyperlink>
      <w:r>
        <w:t xml:space="preserve"> sur le site du CRU.</w:t>
      </w:r>
    </w:p>
    <w:p w:rsidR="00272186" w:rsidRDefault="00272186" w:rsidP="00272186">
      <w:pPr>
        <w:keepNext/>
      </w:pPr>
    </w:p>
    <w:p w:rsidR="00272186" w:rsidRDefault="00272186" w:rsidP="00272186">
      <w:pPr>
        <w:keepNext/>
        <w:jc w:val="both"/>
      </w:pPr>
      <w:r>
        <w:t>Attention, les tables à déclarer dépendent du niveau de déclaration. De plus, la remise XBRL doit contenir un filing indicator pour chaque table :</w:t>
      </w:r>
    </w:p>
    <w:p w:rsidR="00272186" w:rsidRDefault="00272186" w:rsidP="00272186">
      <w:pPr>
        <w:keepNext/>
        <w:spacing w:before="240" w:after="60"/>
      </w:pPr>
    </w:p>
    <w:p w:rsidR="00272186" w:rsidRDefault="00272186" w:rsidP="00272186">
      <w:pPr>
        <w:keepNext/>
        <w:spacing w:before="240" w:after="60"/>
      </w:pPr>
      <w:r>
        <w:rPr>
          <w:noProof/>
        </w:rPr>
        <w:drawing>
          <wp:inline distT="0" distB="0" distL="0" distR="0">
            <wp:extent cx="5372100" cy="33299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72100" cy="3329940"/>
                    </a:xfrm>
                    <a:prstGeom prst="rect">
                      <a:avLst/>
                    </a:prstGeom>
                    <a:noFill/>
                    <a:ln>
                      <a:noFill/>
                    </a:ln>
                  </pic:spPr>
                </pic:pic>
              </a:graphicData>
            </a:graphic>
          </wp:inline>
        </w:drawing>
      </w:r>
    </w:p>
    <w:p w:rsidR="00272186" w:rsidRDefault="00272186" w:rsidP="00272186">
      <w:pPr>
        <w:keepNext/>
        <w:spacing w:before="240" w:after="60"/>
      </w:pPr>
      <w:r>
        <w:t>Comme toutes les tables sont attendues, il faut obligatoirement déclarer « false » pour toutes les tables qui ne sont pas attendues dans votre remise, par exemple, pour un LDR CON :</w:t>
      </w:r>
    </w:p>
    <w:p w:rsidR="00272186" w:rsidRPr="00272186" w:rsidRDefault="00272186" w:rsidP="00272186">
      <w:pPr>
        <w:keepNext/>
        <w:rPr>
          <w:lang w:val="en-US"/>
        </w:rPr>
      </w:pPr>
      <w:r w:rsidRPr="00272186">
        <w:rPr>
          <w:lang w:val="en-US"/>
        </w:rPr>
        <w:t>&lt;find:fIndicators&gt;</w:t>
      </w:r>
    </w:p>
    <w:p w:rsidR="00272186" w:rsidRDefault="00272186" w:rsidP="00272186">
      <w:pPr>
        <w:keepNext/>
        <w:rPr>
          <w:lang w:val="en-US"/>
        </w:rPr>
      </w:pPr>
      <w:r w:rsidRPr="00272186">
        <w:rPr>
          <w:lang w:val="en-US"/>
        </w:rPr>
        <w:t xml:space="preserve"> </w:t>
      </w:r>
      <w:r>
        <w:rPr>
          <w:lang w:val="en-US"/>
        </w:rPr>
        <w:t>&lt;find:filingIndicator contextRef="Context1" find:filed="true"&gt;T_01.00&lt;/find:filingIndicator&gt;</w:t>
      </w:r>
    </w:p>
    <w:p w:rsidR="00272186" w:rsidRDefault="00272186" w:rsidP="00272186">
      <w:pPr>
        <w:keepNext/>
        <w:rPr>
          <w:lang w:val="en-US"/>
        </w:rPr>
      </w:pPr>
      <w:r>
        <w:rPr>
          <w:lang w:val="en-US"/>
        </w:rPr>
        <w:t xml:space="preserve"> &lt;find:filingIndicator contextRef="Context1" find:filed="true"&gt;T_02.00&lt;/find:filingIndicator&gt;</w:t>
      </w:r>
    </w:p>
    <w:p w:rsidR="00272186" w:rsidRDefault="00272186" w:rsidP="00272186">
      <w:pPr>
        <w:keepNext/>
        <w:rPr>
          <w:lang w:val="en-US"/>
        </w:rPr>
      </w:pPr>
      <w:r>
        <w:rPr>
          <w:lang w:val="en-US"/>
        </w:rPr>
        <w:t xml:space="preserve"> &lt;find:filingIndicator contextRef="Context1" find:filed="true"&gt;T_03.01&lt;/find:filingIndicator&gt;</w:t>
      </w:r>
    </w:p>
    <w:p w:rsidR="00272186" w:rsidRDefault="00272186" w:rsidP="00272186">
      <w:pPr>
        <w:keepNext/>
        <w:rPr>
          <w:lang w:val="en-US"/>
        </w:rPr>
      </w:pPr>
      <w:r>
        <w:rPr>
          <w:lang w:val="en-US"/>
        </w:rPr>
        <w:t xml:space="preserve"> &lt;find:filingIndicator contextRef="Context1" find:filed="true"&gt;T_03.02&lt;/find:filingIndicator&gt;</w:t>
      </w:r>
    </w:p>
    <w:p w:rsidR="00272186" w:rsidRDefault="00272186" w:rsidP="00272186">
      <w:pPr>
        <w:keepNext/>
        <w:rPr>
          <w:lang w:val="en-US"/>
        </w:rPr>
      </w:pPr>
      <w:r>
        <w:rPr>
          <w:lang w:val="en-US"/>
        </w:rPr>
        <w:t xml:space="preserve"> &lt;find:filingIndicator contextRef="Context1" find:filed="true"&gt;T_03.03&lt;/find:filingIndicator&gt;</w:t>
      </w:r>
    </w:p>
    <w:p w:rsidR="00272186" w:rsidRDefault="00272186" w:rsidP="00272186">
      <w:pPr>
        <w:keepNext/>
        <w:rPr>
          <w:lang w:val="en-US"/>
        </w:rPr>
      </w:pPr>
      <w:r>
        <w:rPr>
          <w:lang w:val="en-US"/>
        </w:rPr>
        <w:t xml:space="preserve"> &lt;find:filingIndicator contextRef="Context1" find:filed="</w:t>
      </w:r>
      <w:r>
        <w:rPr>
          <w:color w:val="C45911"/>
          <w:lang w:val="en-US"/>
        </w:rPr>
        <w:t>false</w:t>
      </w:r>
      <w:r>
        <w:rPr>
          <w:lang w:val="en-US"/>
        </w:rPr>
        <w:t>"&gt;T_04.00&lt;/find:filingIndicator&gt;</w:t>
      </w:r>
    </w:p>
    <w:p w:rsidR="00272186" w:rsidRDefault="00272186" w:rsidP="00272186">
      <w:pPr>
        <w:keepNext/>
        <w:rPr>
          <w:lang w:val="en-US"/>
        </w:rPr>
      </w:pPr>
      <w:r>
        <w:rPr>
          <w:lang w:val="en-US"/>
        </w:rPr>
        <w:t xml:space="preserve"> &lt;find:filingIndicator contextRef="Context1" find:filed="</w:t>
      </w:r>
      <w:r>
        <w:rPr>
          <w:color w:val="C45911"/>
          <w:lang w:val="en-US"/>
        </w:rPr>
        <w:t>false</w:t>
      </w:r>
      <w:r>
        <w:rPr>
          <w:lang w:val="en-US"/>
        </w:rPr>
        <w:t>"&gt;T_05.01&lt;/find:filingIndicator&gt;</w:t>
      </w:r>
    </w:p>
    <w:p w:rsidR="00272186" w:rsidRDefault="00272186" w:rsidP="00272186">
      <w:pPr>
        <w:keepNext/>
        <w:rPr>
          <w:lang w:val="en-US"/>
        </w:rPr>
      </w:pPr>
      <w:r>
        <w:rPr>
          <w:lang w:val="en-US"/>
        </w:rPr>
        <w:t xml:space="preserve"> &lt;find:filingIndicator contextRef="Context1" find:filed="</w:t>
      </w:r>
      <w:r>
        <w:rPr>
          <w:color w:val="C45911"/>
          <w:lang w:val="en-US"/>
        </w:rPr>
        <w:t>false</w:t>
      </w:r>
      <w:r>
        <w:rPr>
          <w:lang w:val="en-US"/>
        </w:rPr>
        <w:t>"&gt;T_06.01&lt;/find:filingIndicator&gt;</w:t>
      </w:r>
    </w:p>
    <w:p w:rsidR="00272186" w:rsidRDefault="00272186" w:rsidP="00272186">
      <w:pPr>
        <w:keepNext/>
        <w:rPr>
          <w:lang w:val="en-US"/>
        </w:rPr>
      </w:pPr>
      <w:r>
        <w:rPr>
          <w:lang w:val="en-US"/>
        </w:rPr>
        <w:t xml:space="preserve"> &lt;find:filingIndicator contextRef="Context1" find:filed="</w:t>
      </w:r>
      <w:r>
        <w:rPr>
          <w:color w:val="C45911"/>
          <w:lang w:val="en-US"/>
        </w:rPr>
        <w:t>false</w:t>
      </w:r>
      <w:r>
        <w:rPr>
          <w:lang w:val="en-US"/>
        </w:rPr>
        <w:t>"&gt;T_07.00&lt;/find:filingIndicator&gt;</w:t>
      </w:r>
    </w:p>
    <w:p w:rsidR="00272186" w:rsidRDefault="00272186" w:rsidP="00272186">
      <w:pPr>
        <w:keepNext/>
        <w:rPr>
          <w:lang w:val="en-US"/>
        </w:rPr>
      </w:pPr>
      <w:r>
        <w:rPr>
          <w:lang w:val="en-US"/>
        </w:rPr>
        <w:lastRenderedPageBreak/>
        <w:t xml:space="preserve"> &lt;find:filingIndicator contextRef="Context1" find:filed="</w:t>
      </w:r>
      <w:r>
        <w:rPr>
          <w:color w:val="C45911"/>
          <w:lang w:val="en-US"/>
        </w:rPr>
        <w:t>false</w:t>
      </w:r>
      <w:r>
        <w:rPr>
          <w:lang w:val="en-US"/>
        </w:rPr>
        <w:t>"&gt;T_08.00&lt;/find:filingIndicator&gt;</w:t>
      </w:r>
    </w:p>
    <w:p w:rsidR="00272186" w:rsidRDefault="00272186" w:rsidP="00272186">
      <w:pPr>
        <w:keepNext/>
        <w:rPr>
          <w:lang w:val="en-US"/>
        </w:rPr>
      </w:pPr>
      <w:r>
        <w:rPr>
          <w:lang w:val="en-US"/>
        </w:rPr>
        <w:t xml:space="preserve"> &lt;find:filingIndicator contextRef="Context1" find:filed="</w:t>
      </w:r>
      <w:r>
        <w:rPr>
          <w:color w:val="C45911"/>
          <w:lang w:val="en-US"/>
        </w:rPr>
        <w:t>false</w:t>
      </w:r>
      <w:r>
        <w:rPr>
          <w:lang w:val="en-US"/>
        </w:rPr>
        <w:t>"&gt;T_09.00&lt;/find:filingIndicator&gt;</w:t>
      </w:r>
    </w:p>
    <w:p w:rsidR="00272186" w:rsidRDefault="00272186" w:rsidP="00272186">
      <w:pPr>
        <w:keepNext/>
        <w:rPr>
          <w:lang w:val="en-US"/>
        </w:rPr>
      </w:pPr>
      <w:r>
        <w:rPr>
          <w:lang w:val="en-US"/>
        </w:rPr>
        <w:t xml:space="preserve"> &lt;find:filingIndicator contextRef="Context1" find:filed="true"&gt;T_12.00&lt;/find:filingIndicator&gt;</w:t>
      </w:r>
    </w:p>
    <w:p w:rsidR="00272186" w:rsidRDefault="00272186" w:rsidP="00272186">
      <w:pPr>
        <w:keepNext/>
        <w:rPr>
          <w:lang w:val="en-US"/>
        </w:rPr>
      </w:pPr>
      <w:r>
        <w:rPr>
          <w:lang w:val="en-US"/>
        </w:rPr>
        <w:t xml:space="preserve"> &lt;find:filingIndicator contextRef="Context1" find:filed="true"&gt;T_99.00&lt;/find:filingIndicator&gt;</w:t>
      </w:r>
    </w:p>
    <w:p w:rsidR="00272186" w:rsidRDefault="00272186" w:rsidP="00272186">
      <w:pPr>
        <w:keepNext/>
      </w:pPr>
      <w:r>
        <w:rPr>
          <w:lang w:val="en-US"/>
        </w:rPr>
        <w:t xml:space="preserve"> </w:t>
      </w:r>
      <w:r>
        <w:t>&lt;/find:fIndicators&gt;</w:t>
      </w:r>
    </w:p>
    <w:p w:rsidR="00272186" w:rsidRDefault="00272186" w:rsidP="00272186">
      <w:pPr>
        <w:keepNext/>
        <w:numPr>
          <w:ilvl w:val="1"/>
          <w:numId w:val="5"/>
        </w:numPr>
        <w:spacing w:before="240" w:after="60"/>
        <w:ind w:left="1066" w:hanging="357"/>
        <w:outlineLvl w:val="1"/>
        <w:rPr>
          <w:b/>
          <w:u w:val="single"/>
        </w:rPr>
      </w:pPr>
      <w:r>
        <w:rPr>
          <w:b/>
          <w:u w:val="single"/>
        </w:rPr>
        <w:br w:type="page"/>
      </w:r>
      <w:bookmarkStart w:id="41" w:name="_Toc149648061"/>
      <w:r>
        <w:rPr>
          <w:b/>
          <w:u w:val="single"/>
        </w:rPr>
        <w:lastRenderedPageBreak/>
        <w:t>Filing rules pour MREL-TLAC</w:t>
      </w:r>
      <w:bookmarkEnd w:id="41"/>
    </w:p>
    <w:p w:rsidR="00272186" w:rsidRDefault="00272186" w:rsidP="00272186">
      <w:pPr>
        <w:keepNext/>
        <w:spacing w:before="240" w:after="60"/>
      </w:pPr>
      <w:r>
        <w:t>Les reportings devront respecter ces règles sous peine d’être rejetés par les portails de l’ACPR et européen (CRU, EBA) :</w:t>
      </w:r>
    </w:p>
    <w:p w:rsidR="00272186" w:rsidRDefault="00272186" w:rsidP="00272186">
      <w:pPr>
        <w:keepNext/>
        <w:spacing w:before="240" w:after="60"/>
      </w:pPr>
      <w:r>
        <w:rPr>
          <w:noProof/>
        </w:rPr>
        <w:drawing>
          <wp:inline distT="0" distB="0" distL="0" distR="0">
            <wp:extent cx="6118860" cy="31089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8860" cy="3108960"/>
                    </a:xfrm>
                    <a:prstGeom prst="rect">
                      <a:avLst/>
                    </a:prstGeom>
                    <a:noFill/>
                    <a:ln>
                      <a:noFill/>
                    </a:ln>
                  </pic:spPr>
                </pic:pic>
              </a:graphicData>
            </a:graphic>
          </wp:inline>
        </w:drawing>
      </w:r>
    </w:p>
    <w:p w:rsidR="00272186" w:rsidRDefault="00272186" w:rsidP="00272186">
      <w:pPr>
        <w:keepNext/>
        <w:spacing w:before="240" w:after="60"/>
        <w:jc w:val="both"/>
      </w:pPr>
      <w:r>
        <w:t xml:space="preserve">Par ailleurs, pour les MREL-TLAC remis à partir du 1/01/2023, les règles de gestion de présence des tables </w:t>
      </w:r>
      <w:r>
        <w:rPr>
          <w:b/>
        </w:rPr>
        <w:t>évoluent</w:t>
      </w:r>
      <w:r>
        <w:t xml:space="preserve"> : Une table non attendue mais absente sera considérée comme une erreur. Si vous ne devez pas déclarer de données dans une table, il convient néanmoins de déclarer avec un </w:t>
      </w:r>
      <w:r>
        <w:rPr>
          <w:i/>
        </w:rPr>
        <w:t>filing indicator</w:t>
      </w:r>
      <w:r>
        <w:t xml:space="preserve"> = </w:t>
      </w:r>
      <w:r>
        <w:rPr>
          <w:i/>
        </w:rPr>
        <w:t>false</w:t>
      </w:r>
    </w:p>
    <w:p w:rsidR="00272186" w:rsidRDefault="00272186" w:rsidP="00272186">
      <w:pPr>
        <w:keepNext/>
        <w:spacing w:before="240" w:after="60"/>
        <w:rPr>
          <w:color w:val="1F497D"/>
        </w:rPr>
      </w:pPr>
      <w:r>
        <w:rPr>
          <w:noProof/>
          <w:color w:val="1F497D"/>
        </w:rPr>
        <w:drawing>
          <wp:inline distT="0" distB="0" distL="0" distR="0">
            <wp:extent cx="6126480" cy="19735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6480" cy="1973580"/>
                    </a:xfrm>
                    <a:prstGeom prst="rect">
                      <a:avLst/>
                    </a:prstGeom>
                    <a:noFill/>
                    <a:ln>
                      <a:noFill/>
                    </a:ln>
                  </pic:spPr>
                </pic:pic>
              </a:graphicData>
            </a:graphic>
          </wp:inline>
        </w:drawing>
      </w:r>
    </w:p>
    <w:p w:rsidR="00272186" w:rsidRDefault="00272186" w:rsidP="00272186">
      <w:pPr>
        <w:spacing w:before="240" w:after="60"/>
        <w:rPr>
          <w:b/>
          <w:u w:val="single"/>
        </w:rPr>
      </w:pPr>
    </w:p>
    <w:p w:rsidR="00272186" w:rsidRDefault="00272186" w:rsidP="00272186">
      <w:pPr>
        <w:keepNext/>
        <w:numPr>
          <w:ilvl w:val="1"/>
          <w:numId w:val="5"/>
        </w:numPr>
        <w:spacing w:before="240" w:after="60"/>
        <w:ind w:left="1066" w:hanging="357"/>
        <w:outlineLvl w:val="1"/>
        <w:rPr>
          <w:b/>
          <w:u w:val="single"/>
          <w:lang w:val="en-US"/>
        </w:rPr>
      </w:pPr>
      <w:bookmarkStart w:id="42" w:name="_Toc149648062"/>
      <w:r>
        <w:rPr>
          <w:b/>
          <w:u w:val="single"/>
          <w:lang w:val="en-US"/>
        </w:rPr>
        <w:lastRenderedPageBreak/>
        <w:t>Filing rules pour NOTIF IMPRACTICABILITY (art. 55 BRRD)</w:t>
      </w:r>
      <w:bookmarkEnd w:id="42"/>
    </w:p>
    <w:p w:rsidR="00272186" w:rsidRDefault="00272186" w:rsidP="00272186">
      <w:pPr>
        <w:keepNext/>
        <w:spacing w:before="240" w:after="60"/>
        <w:ind w:firstLine="284"/>
        <w:rPr>
          <w:u w:val="single"/>
        </w:rPr>
      </w:pPr>
      <w:r>
        <w:rPr>
          <w:u w:val="single"/>
        </w:rPr>
        <w:t>A compter de la période 12/2022, la collecte IMPRACTICABILITY devra contenir le point d’entrée .IND dans la balise IDENTIFIER.</w:t>
      </w:r>
    </w:p>
    <w:p w:rsidR="00272186" w:rsidRDefault="00272186" w:rsidP="00272186">
      <w:pPr>
        <w:keepNext/>
        <w:spacing w:after="60"/>
        <w:ind w:left="1072"/>
        <w:rPr>
          <w:u w:val="single"/>
        </w:rPr>
      </w:pPr>
      <w:r>
        <w:rPr>
          <w:u w:val="single"/>
        </w:rPr>
        <w:t>Exemple :</w:t>
      </w:r>
    </w:p>
    <w:p w:rsidR="00272186" w:rsidRDefault="00272186" w:rsidP="00272186">
      <w:pPr>
        <w:keepNext/>
        <w:spacing w:after="60"/>
        <w:ind w:left="1072"/>
        <w:rPr>
          <w:u w:val="single"/>
        </w:rPr>
      </w:pPr>
      <w:r>
        <w:rPr>
          <w:u w:val="single"/>
        </w:rPr>
        <w:t>&lt;xbrli:entity&gt;</w:t>
      </w:r>
    </w:p>
    <w:p w:rsidR="00272186" w:rsidRDefault="00272186" w:rsidP="00272186">
      <w:pPr>
        <w:keepNext/>
        <w:spacing w:after="60"/>
        <w:ind w:left="1072"/>
        <w:rPr>
          <w:u w:val="single"/>
        </w:rPr>
      </w:pPr>
      <w:r>
        <w:rPr>
          <w:u w:val="single"/>
        </w:rPr>
        <w:t xml:space="preserve">      &lt;xbrli:identifier scheme="https://eurofiling.info/eu/rs"&gt;DUMMYLEI123456789012.IND&lt;/xbrli:identifier&gt;</w:t>
      </w:r>
    </w:p>
    <w:p w:rsidR="00272186" w:rsidRDefault="00272186" w:rsidP="00272186">
      <w:pPr>
        <w:keepNext/>
        <w:spacing w:after="60"/>
        <w:ind w:left="1072"/>
        <w:rPr>
          <w:u w:val="single"/>
        </w:rPr>
      </w:pPr>
      <w:r>
        <w:rPr>
          <w:u w:val="single"/>
        </w:rPr>
        <w:t xml:space="preserve">    &lt;/xbrli:entity&gt;</w:t>
      </w:r>
    </w:p>
    <w:p w:rsidR="00272186" w:rsidRDefault="00272186" w:rsidP="00272186">
      <w:pPr>
        <w:numPr>
          <w:ilvl w:val="1"/>
          <w:numId w:val="5"/>
        </w:numPr>
        <w:spacing w:before="240" w:after="60"/>
        <w:ind w:left="1066" w:hanging="357"/>
        <w:outlineLvl w:val="1"/>
        <w:rPr>
          <w:b/>
          <w:u w:val="single"/>
        </w:rPr>
      </w:pPr>
      <w:bookmarkStart w:id="43" w:name="_Toc149648063"/>
      <w:r>
        <w:rPr>
          <w:b/>
          <w:u w:val="single"/>
        </w:rPr>
        <w:t>Règles de nommage</w:t>
      </w:r>
      <w:bookmarkEnd w:id="43"/>
    </w:p>
    <w:p w:rsidR="00272186" w:rsidRDefault="00272186" w:rsidP="00272186">
      <w:pPr>
        <w:ind w:left="1069"/>
        <w:rPr>
          <w:b/>
          <w:u w:val="single"/>
        </w:rPr>
      </w:pPr>
    </w:p>
    <w:p w:rsidR="00272186" w:rsidRDefault="00272186" w:rsidP="00272186">
      <w:pPr>
        <w:ind w:firstLine="284"/>
        <w:jc w:val="both"/>
      </w:pPr>
      <w:r>
        <w:t>Les établissements sont libres de nommer leur fichier. Les règles de nommage attendues par le CRU sont réalisées par l’ACPR.</w:t>
      </w:r>
    </w:p>
    <w:p w:rsidR="00272186" w:rsidRDefault="00272186" w:rsidP="00272186">
      <w:pPr>
        <w:pStyle w:val="Titre1"/>
        <w:keepLines w:val="0"/>
        <w:numPr>
          <w:ilvl w:val="0"/>
          <w:numId w:val="1"/>
        </w:numPr>
        <w:spacing w:before="480" w:after="240"/>
        <w:ind w:left="805" w:hanging="448"/>
        <w:rPr>
          <w:rFonts w:ascii="Calibri" w:hAnsi="Calibri"/>
          <w:sz w:val="28"/>
          <w:szCs w:val="28"/>
        </w:rPr>
      </w:pPr>
      <w:bookmarkStart w:id="44" w:name="_Toc149648064"/>
      <w:r>
        <w:rPr>
          <w:rFonts w:ascii="Calibri" w:hAnsi="Calibri"/>
          <w:sz w:val="28"/>
          <w:szCs w:val="28"/>
        </w:rPr>
        <w:t>Signature électronique des remises</w:t>
      </w:r>
      <w:bookmarkEnd w:id="44"/>
    </w:p>
    <w:p w:rsidR="00272186" w:rsidRDefault="00272186" w:rsidP="00272186">
      <w:pPr>
        <w:ind w:left="360"/>
        <w:jc w:val="both"/>
        <w:rPr>
          <w:b/>
        </w:rPr>
      </w:pPr>
    </w:p>
    <w:p w:rsidR="00272186" w:rsidRDefault="00272186" w:rsidP="00272186">
      <w:pPr>
        <w:ind w:firstLine="360"/>
        <w:jc w:val="both"/>
      </w:pPr>
      <w:r>
        <w:t xml:space="preserve">Conformément à la décision ACPR </w:t>
      </w:r>
      <w:hyperlink r:id="rId47" w:history="1">
        <w:r>
          <w:rPr>
            <w:rStyle w:val="Lienhypertexte"/>
            <w:rFonts w:eastAsiaTheme="majorEastAsia"/>
          </w:rPr>
          <w:t>2023-CR-35</w:t>
        </w:r>
      </w:hyperlink>
      <w:r>
        <w:t xml:space="preserve"> à partir du 1</w:t>
      </w:r>
      <w:r>
        <w:rPr>
          <w:vertAlign w:val="superscript"/>
        </w:rPr>
        <w:t>er</w:t>
      </w:r>
      <w:r>
        <w:t xml:space="preserve"> novembre 2024,  une signature électronique sera demandée pour toute remise concernant l’ensemble des collectes des domaines FDR (FRU-FRN) et DDR (CFR, LDR, FMIR, CIR, MREL-TLAC…), selon les normes décrites dans la note sur la déclaration des droits à signer </w:t>
      </w:r>
      <w:hyperlink r:id="rId48" w:history="1">
        <w:r>
          <w:rPr>
            <w:rStyle w:val="Lienhypertexte"/>
            <w:rFonts w:eastAsiaTheme="majorEastAsia"/>
          </w:rPr>
          <w:t>publiée</w:t>
        </w:r>
      </w:hyperlink>
      <w:r>
        <w:t xml:space="preserve"> sur eSurfi banque.</w:t>
      </w:r>
    </w:p>
    <w:p w:rsidR="00272186" w:rsidRDefault="00272186" w:rsidP="00272186">
      <w:pPr>
        <w:ind w:left="360"/>
        <w:jc w:val="both"/>
      </w:pPr>
    </w:p>
    <w:p w:rsidR="00272186" w:rsidRDefault="00272186" w:rsidP="00272186">
      <w:pPr>
        <w:jc w:val="both"/>
      </w:pPr>
    </w:p>
    <w:p w:rsidR="00272186" w:rsidRDefault="00272186" w:rsidP="00272186">
      <w:pPr>
        <w:jc w:val="both"/>
      </w:pPr>
    </w:p>
    <w:p w:rsidR="00272186" w:rsidRDefault="00272186" w:rsidP="00272186"/>
    <w:sectPr w:rsidR="00272186">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0F" w:rsidRDefault="00E00B0F" w:rsidP="00272186">
      <w:r>
        <w:separator/>
      </w:r>
    </w:p>
  </w:endnote>
  <w:endnote w:type="continuationSeparator" w:id="0">
    <w:p w:rsidR="00E00B0F" w:rsidRDefault="00E00B0F" w:rsidP="0027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63246"/>
      <w:docPartObj>
        <w:docPartGallery w:val="Page Numbers (Bottom of Page)"/>
        <w:docPartUnique/>
      </w:docPartObj>
    </w:sdtPr>
    <w:sdtContent>
      <w:p w:rsidR="00E00B0F" w:rsidRDefault="00E00B0F">
        <w:pPr>
          <w:pStyle w:val="Pieddepage"/>
          <w:jc w:val="right"/>
        </w:pPr>
        <w:r>
          <w:fldChar w:fldCharType="begin"/>
        </w:r>
        <w:r>
          <w:instrText>PAGE   \* MERGEFORMAT</w:instrText>
        </w:r>
        <w:r>
          <w:fldChar w:fldCharType="separate"/>
        </w:r>
        <w:r w:rsidR="00511DF0">
          <w:rPr>
            <w:noProof/>
          </w:rPr>
          <w:t>15</w:t>
        </w:r>
        <w:r>
          <w:fldChar w:fldCharType="end"/>
        </w:r>
      </w:p>
    </w:sdtContent>
  </w:sdt>
  <w:p w:rsidR="00E00B0F" w:rsidRPr="00272186" w:rsidRDefault="00E00B0F" w:rsidP="00272186">
    <w:pPr>
      <w:pStyle w:val="Pieddepage"/>
      <w:jc w:val="center"/>
      <w:rPr>
        <w:sz w:val="20"/>
      </w:rPr>
    </w:pPr>
    <w:r>
      <w:rPr>
        <w:sz w:val="20"/>
      </w:rPr>
      <w:t>[Secrétariat général de l’Autorité de contrôle prudentiel et de résolution]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0F" w:rsidRDefault="00E00B0F" w:rsidP="00272186">
      <w:r>
        <w:separator/>
      </w:r>
    </w:p>
  </w:footnote>
  <w:footnote w:type="continuationSeparator" w:id="0">
    <w:p w:rsidR="00E00B0F" w:rsidRDefault="00E00B0F" w:rsidP="00272186">
      <w:r>
        <w:continuationSeparator/>
      </w:r>
    </w:p>
  </w:footnote>
  <w:footnote w:id="1">
    <w:p w:rsidR="00E00B0F" w:rsidRDefault="00E00B0F" w:rsidP="002721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0F" w:rsidRPr="00272186" w:rsidRDefault="00E00B0F" w:rsidP="00272186">
    <w:pPr>
      <w:pStyle w:val="En-tte"/>
      <w:jc w:val="right"/>
      <w:rPr>
        <w:rFonts w:ascii="Arial Narrow" w:hAnsi="Arial Narrow" w:cs="Arial"/>
        <w:b/>
        <w:i/>
        <w:sz w:val="10"/>
        <w:szCs w:val="16"/>
      </w:rPr>
    </w:pPr>
    <w:r w:rsidRPr="00272186">
      <w:rPr>
        <w:rFonts w:ascii="Arial Narrow" w:hAnsi="Arial Narrow" w:cs="Arial"/>
        <w:b/>
        <w:i/>
        <w:sz w:val="18"/>
        <w:szCs w:val="16"/>
      </w:rPr>
      <w:t>Note Technique 2024-01 – Version Octobre 2024</w:t>
    </w:r>
  </w:p>
  <w:p w:rsidR="00E00B0F" w:rsidRDefault="00E00B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FA0"/>
    <w:multiLevelType w:val="hybridMultilevel"/>
    <w:tmpl w:val="4F4211E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2417F9"/>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2" w15:restartNumberingAfterBreak="0">
    <w:nsid w:val="0A8A11CC"/>
    <w:multiLevelType w:val="hybridMultilevel"/>
    <w:tmpl w:val="38E4CC0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D90F6B"/>
    <w:multiLevelType w:val="multilevel"/>
    <w:tmpl w:val="6DE4444E"/>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1D3C37D6"/>
    <w:multiLevelType w:val="hybridMultilevel"/>
    <w:tmpl w:val="8C8EAAE8"/>
    <w:lvl w:ilvl="0" w:tplc="3C4C9742">
      <w:start w:val="1"/>
      <w:numFmt w:val="decimal"/>
      <w:lvlText w:val="%1."/>
      <w:lvlJc w:val="left"/>
      <w:pPr>
        <w:tabs>
          <w:tab w:val="num" w:pos="810"/>
        </w:tabs>
        <w:ind w:left="810" w:hanging="450"/>
      </w:pPr>
    </w:lvl>
    <w:lvl w:ilvl="1" w:tplc="86B2D346">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3DFC23AF"/>
    <w:multiLevelType w:val="hybridMultilevel"/>
    <w:tmpl w:val="963E3520"/>
    <w:lvl w:ilvl="0" w:tplc="9EB2A7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323FB1"/>
    <w:multiLevelType w:val="hybridMultilevel"/>
    <w:tmpl w:val="EE3273F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5A792270"/>
    <w:multiLevelType w:val="hybridMultilevel"/>
    <w:tmpl w:val="A99C38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0CE770D"/>
    <w:multiLevelType w:val="hybridMultilevel"/>
    <w:tmpl w:val="FBDCB854"/>
    <w:lvl w:ilvl="0" w:tplc="F83467AA">
      <w:start w:val="1"/>
      <w:numFmt w:val="bullet"/>
      <w:lvlText w:val=""/>
      <w:lvlJc w:val="left"/>
      <w:pPr>
        <w:tabs>
          <w:tab w:val="num" w:pos="720"/>
        </w:tabs>
        <w:ind w:left="720" w:hanging="360"/>
      </w:pPr>
      <w:rPr>
        <w:rFonts w:ascii="Wingdings" w:hAnsi="Wingdings" w:hint="default"/>
      </w:rPr>
    </w:lvl>
    <w:lvl w:ilvl="1" w:tplc="615EF312">
      <w:start w:val="1"/>
      <w:numFmt w:val="bullet"/>
      <w:lvlText w:val=""/>
      <w:lvlJc w:val="left"/>
      <w:pPr>
        <w:tabs>
          <w:tab w:val="num" w:pos="1440"/>
        </w:tabs>
        <w:ind w:left="1440" w:hanging="360"/>
      </w:pPr>
      <w:rPr>
        <w:rFonts w:ascii="Wingdings" w:hAnsi="Wingdings" w:hint="default"/>
      </w:rPr>
    </w:lvl>
    <w:lvl w:ilvl="2" w:tplc="85EACD14">
      <w:start w:val="1"/>
      <w:numFmt w:val="bullet"/>
      <w:lvlText w:val=""/>
      <w:lvlJc w:val="left"/>
      <w:pPr>
        <w:tabs>
          <w:tab w:val="num" w:pos="2160"/>
        </w:tabs>
        <w:ind w:left="2160" w:hanging="360"/>
      </w:pPr>
      <w:rPr>
        <w:rFonts w:ascii="Wingdings" w:hAnsi="Wingdings" w:hint="default"/>
      </w:rPr>
    </w:lvl>
    <w:lvl w:ilvl="3" w:tplc="FB7A3DA4">
      <w:start w:val="1"/>
      <w:numFmt w:val="bullet"/>
      <w:lvlText w:val=""/>
      <w:lvlJc w:val="left"/>
      <w:pPr>
        <w:tabs>
          <w:tab w:val="num" w:pos="2880"/>
        </w:tabs>
        <w:ind w:left="2880" w:hanging="360"/>
      </w:pPr>
      <w:rPr>
        <w:rFonts w:ascii="Wingdings" w:hAnsi="Wingdings" w:hint="default"/>
      </w:rPr>
    </w:lvl>
    <w:lvl w:ilvl="4" w:tplc="261096B0">
      <w:start w:val="1"/>
      <w:numFmt w:val="bullet"/>
      <w:lvlText w:val=""/>
      <w:lvlJc w:val="left"/>
      <w:pPr>
        <w:tabs>
          <w:tab w:val="num" w:pos="3600"/>
        </w:tabs>
        <w:ind w:left="3600" w:hanging="360"/>
      </w:pPr>
      <w:rPr>
        <w:rFonts w:ascii="Wingdings" w:hAnsi="Wingdings" w:hint="default"/>
      </w:rPr>
    </w:lvl>
    <w:lvl w:ilvl="5" w:tplc="72BC13A0">
      <w:start w:val="1"/>
      <w:numFmt w:val="bullet"/>
      <w:lvlText w:val=""/>
      <w:lvlJc w:val="left"/>
      <w:pPr>
        <w:tabs>
          <w:tab w:val="num" w:pos="4320"/>
        </w:tabs>
        <w:ind w:left="4320" w:hanging="360"/>
      </w:pPr>
      <w:rPr>
        <w:rFonts w:ascii="Wingdings" w:hAnsi="Wingdings" w:hint="default"/>
      </w:rPr>
    </w:lvl>
    <w:lvl w:ilvl="6" w:tplc="3B62902A">
      <w:start w:val="1"/>
      <w:numFmt w:val="bullet"/>
      <w:lvlText w:val=""/>
      <w:lvlJc w:val="left"/>
      <w:pPr>
        <w:tabs>
          <w:tab w:val="num" w:pos="5040"/>
        </w:tabs>
        <w:ind w:left="5040" w:hanging="360"/>
      </w:pPr>
      <w:rPr>
        <w:rFonts w:ascii="Wingdings" w:hAnsi="Wingdings" w:hint="default"/>
      </w:rPr>
    </w:lvl>
    <w:lvl w:ilvl="7" w:tplc="3A60C3EA">
      <w:start w:val="1"/>
      <w:numFmt w:val="bullet"/>
      <w:lvlText w:val=""/>
      <w:lvlJc w:val="left"/>
      <w:pPr>
        <w:tabs>
          <w:tab w:val="num" w:pos="5760"/>
        </w:tabs>
        <w:ind w:left="5760" w:hanging="360"/>
      </w:pPr>
      <w:rPr>
        <w:rFonts w:ascii="Wingdings" w:hAnsi="Wingdings" w:hint="default"/>
      </w:rPr>
    </w:lvl>
    <w:lvl w:ilvl="8" w:tplc="68BC71E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65699"/>
    <w:multiLevelType w:val="hybridMultilevel"/>
    <w:tmpl w:val="E76E1EE8"/>
    <w:lvl w:ilvl="0" w:tplc="058C1ED2">
      <w:start w:val="1"/>
      <w:numFmt w:val="bullet"/>
      <w:lvlText w:val="-"/>
      <w:lvlJc w:val="left"/>
      <w:pPr>
        <w:ind w:left="360" w:hanging="360"/>
      </w:pPr>
      <w:rPr>
        <w:rFonts w:ascii="Courier New" w:hAnsi="Courier New"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76166DAA"/>
    <w:multiLevelType w:val="hybridMultilevel"/>
    <w:tmpl w:val="D0D8A8EE"/>
    <w:lvl w:ilvl="0" w:tplc="040C0003">
      <w:start w:val="1"/>
      <w:numFmt w:val="bullet"/>
      <w:lvlText w:val="o"/>
      <w:lvlJc w:val="left"/>
      <w:pPr>
        <w:ind w:left="1434" w:hanging="360"/>
      </w:pPr>
      <w:rPr>
        <w:rFonts w:ascii="Courier New" w:hAnsi="Courier New" w:cs="Courier New" w:hint="default"/>
      </w:rPr>
    </w:lvl>
    <w:lvl w:ilvl="1" w:tplc="040C0003">
      <w:start w:val="1"/>
      <w:numFmt w:val="bullet"/>
      <w:lvlText w:val="o"/>
      <w:lvlJc w:val="left"/>
      <w:pPr>
        <w:ind w:left="2154" w:hanging="360"/>
      </w:pPr>
      <w:rPr>
        <w:rFonts w:ascii="Courier New" w:hAnsi="Courier New" w:cs="Courier New" w:hint="default"/>
      </w:rPr>
    </w:lvl>
    <w:lvl w:ilvl="2" w:tplc="040C0005">
      <w:start w:val="1"/>
      <w:numFmt w:val="bullet"/>
      <w:lvlText w:val=""/>
      <w:lvlJc w:val="left"/>
      <w:pPr>
        <w:ind w:left="2874" w:hanging="360"/>
      </w:pPr>
      <w:rPr>
        <w:rFonts w:ascii="Wingdings" w:hAnsi="Wingdings" w:hint="default"/>
      </w:rPr>
    </w:lvl>
    <w:lvl w:ilvl="3" w:tplc="040C0001">
      <w:start w:val="1"/>
      <w:numFmt w:val="bullet"/>
      <w:lvlText w:val=""/>
      <w:lvlJc w:val="left"/>
      <w:pPr>
        <w:ind w:left="3594" w:hanging="360"/>
      </w:pPr>
      <w:rPr>
        <w:rFonts w:ascii="Symbol" w:hAnsi="Symbol" w:hint="default"/>
      </w:rPr>
    </w:lvl>
    <w:lvl w:ilvl="4" w:tplc="040C0003">
      <w:start w:val="1"/>
      <w:numFmt w:val="bullet"/>
      <w:lvlText w:val="o"/>
      <w:lvlJc w:val="left"/>
      <w:pPr>
        <w:ind w:left="4314" w:hanging="360"/>
      </w:pPr>
      <w:rPr>
        <w:rFonts w:ascii="Courier New" w:hAnsi="Courier New" w:cs="Courier New" w:hint="default"/>
      </w:rPr>
    </w:lvl>
    <w:lvl w:ilvl="5" w:tplc="040C0005">
      <w:start w:val="1"/>
      <w:numFmt w:val="bullet"/>
      <w:lvlText w:val=""/>
      <w:lvlJc w:val="left"/>
      <w:pPr>
        <w:ind w:left="5034" w:hanging="360"/>
      </w:pPr>
      <w:rPr>
        <w:rFonts w:ascii="Wingdings" w:hAnsi="Wingdings" w:hint="default"/>
      </w:rPr>
    </w:lvl>
    <w:lvl w:ilvl="6" w:tplc="040C0001">
      <w:start w:val="1"/>
      <w:numFmt w:val="bullet"/>
      <w:lvlText w:val=""/>
      <w:lvlJc w:val="left"/>
      <w:pPr>
        <w:ind w:left="5754" w:hanging="360"/>
      </w:pPr>
      <w:rPr>
        <w:rFonts w:ascii="Symbol" w:hAnsi="Symbol" w:hint="default"/>
      </w:rPr>
    </w:lvl>
    <w:lvl w:ilvl="7" w:tplc="040C0003">
      <w:start w:val="1"/>
      <w:numFmt w:val="bullet"/>
      <w:lvlText w:val="o"/>
      <w:lvlJc w:val="left"/>
      <w:pPr>
        <w:ind w:left="6474" w:hanging="360"/>
      </w:pPr>
      <w:rPr>
        <w:rFonts w:ascii="Courier New" w:hAnsi="Courier New" w:cs="Courier New" w:hint="default"/>
      </w:rPr>
    </w:lvl>
    <w:lvl w:ilvl="8" w:tplc="040C0005">
      <w:start w:val="1"/>
      <w:numFmt w:val="bullet"/>
      <w:lvlText w:val=""/>
      <w:lvlJc w:val="left"/>
      <w:pPr>
        <w:ind w:left="7194"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6"/>
    <w:rsid w:val="00272186"/>
    <w:rsid w:val="00413260"/>
    <w:rsid w:val="00511DF0"/>
    <w:rsid w:val="00B5125D"/>
    <w:rsid w:val="00E00B0F"/>
    <w:rsid w:val="00E53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E4469"/>
  <w15:chartTrackingRefBased/>
  <w15:docId w15:val="{C7A7D88F-4844-424F-AB66-B819A089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86"/>
    <w:pPr>
      <w:spacing w:after="0" w:line="240" w:lineRule="auto"/>
    </w:pPr>
    <w:rPr>
      <w:rFonts w:ascii="Times New Roman" w:eastAsia="Times New Roman" w:hAnsi="Times New Roman" w:cs="Times New Roman"/>
      <w:sz w:val="24"/>
      <w:szCs w:val="20"/>
      <w:lang w:eastAsia="fr-FR"/>
    </w:rPr>
  </w:style>
  <w:style w:type="paragraph" w:styleId="Titre1">
    <w:name w:val="heading 1"/>
    <w:aliases w:val="Titre a,1. Titre 1,Section Heading,1titre,1titre1,1titre2,1titre3,1titre4,1titre5,1titre6,Titre : normal+police 18 points,gras,GSA1,Titre 11,t1.T1.Titre 1,t1.T1,1titre7,1titre11,1titre21,1titre31,1titre41,1titre51,1titre61,Activité,AA1"/>
    <w:basedOn w:val="Normal"/>
    <w:next w:val="Normal"/>
    <w:link w:val="Titre1Car"/>
    <w:qFormat/>
    <w:rsid w:val="00272186"/>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Reset numbering,H2,GSA2,Heading2,Heading21,Titre 21,t2.T2,H21,Heading 2,Fonctionnalité,chapitre,t2,h2,chapitre 1.1,h21,h22,T2,heading 2,l2,I2,Titre Parag,paragraphe,Contrat 2,Ctt,AA2,Überschrift 2 Anhang,Überschrift 2 Anhang1,TT2,Heading22,H22"/>
    <w:basedOn w:val="Titre1"/>
    <w:next w:val="Normal"/>
    <w:link w:val="Titre2Car"/>
    <w:semiHidden/>
    <w:unhideWhenUsed/>
    <w:qFormat/>
    <w:rsid w:val="00272186"/>
    <w:pPr>
      <w:numPr>
        <w:ilvl w:val="1"/>
      </w:numPr>
      <w:spacing w:before="40"/>
      <w:outlineLvl w:val="1"/>
    </w:pPr>
    <w:rPr>
      <w:sz w:val="26"/>
      <w:szCs w:val="26"/>
    </w:rPr>
  </w:style>
  <w:style w:type="paragraph" w:styleId="Titre3">
    <w:name w:val="heading 3"/>
    <w:aliases w:val="H3,h3,heading 3,3rd level,Titre 31,t3.T3,H31,Heading 3,Section,TT3,H32,h31,heading 31,3rd level1,Titre 311,t3.T31,H311,Heading 31,Section1,TT31,H33,h32,heading 32,3rd level2,Titre 312,t3.T32,H312,Heading 32,Section2,TT32,H34,h33,heading 33,H313"/>
    <w:basedOn w:val="Titre2"/>
    <w:next w:val="Normal"/>
    <w:link w:val="Titre3Car"/>
    <w:semiHidden/>
    <w:unhideWhenUsed/>
    <w:qFormat/>
    <w:rsid w:val="00272186"/>
    <w:pPr>
      <w:numPr>
        <w:ilvl w:val="2"/>
      </w:numPr>
      <w:outlineLvl w:val="2"/>
    </w:pPr>
    <w:rPr>
      <w:color w:val="1F4D78" w:themeColor="accent1" w:themeShade="7F"/>
      <w:sz w:val="24"/>
      <w:szCs w:val="24"/>
    </w:rPr>
  </w:style>
  <w:style w:type="paragraph" w:styleId="Titre4">
    <w:name w:val="heading 4"/>
    <w:aliases w:val="Titre niveau 4,H4,Titre 41,t4.T4,Heading 4,(Shift Ctrl 4),- Minor Sid...,- Minor Side,H41,Titre 411,t4.T41,Heading 41,(Shift Ctrl 4)1,- Minor Side1,H42,Titre 412,t4.T42,Heading 42,(Shift Ctrl 4)2,- Minor Side2,H43,Titre 413,t4.T43,Heading 43,l4"/>
    <w:basedOn w:val="Normal"/>
    <w:link w:val="Titre4Car"/>
    <w:semiHidden/>
    <w:unhideWhenUsed/>
    <w:qFormat/>
    <w:rsid w:val="00272186"/>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aliases w:val="Level 3 - i,Heading 5,Contrat 5,Heading 51,Heading 52,Heading 53,Heading 54,Heading 55,Heading 56,Heading 57,Heading 58,Heading 59,Heading 510,Heading 511,Heading 521,Heading 531,Heading 541,Heading 551,Heading 561,Heading 571,Heading 581"/>
    <w:basedOn w:val="Titre4"/>
    <w:next w:val="Normal"/>
    <w:link w:val="Titre5Car"/>
    <w:semiHidden/>
    <w:unhideWhenUsed/>
    <w:qFormat/>
    <w:rsid w:val="00272186"/>
    <w:pPr>
      <w:numPr>
        <w:ilvl w:val="4"/>
      </w:numPr>
      <w:outlineLvl w:val="4"/>
    </w:pPr>
    <w:rPr>
      <w:i w:val="0"/>
      <w:iCs w:val="0"/>
    </w:rPr>
  </w:style>
  <w:style w:type="paragraph" w:styleId="Titre6">
    <w:name w:val="heading 6"/>
    <w:aliases w:val="Legal Level 1.,Annexe,H6"/>
    <w:basedOn w:val="Titre5"/>
    <w:next w:val="Normal"/>
    <w:link w:val="Titre6Car"/>
    <w:semiHidden/>
    <w:unhideWhenUsed/>
    <w:qFormat/>
    <w:rsid w:val="00272186"/>
    <w:pPr>
      <w:numPr>
        <w:ilvl w:val="5"/>
      </w:numPr>
      <w:outlineLvl w:val="5"/>
    </w:pPr>
    <w:rPr>
      <w:color w:val="1F4D78" w:themeColor="accent1" w:themeShade="7F"/>
    </w:rPr>
  </w:style>
  <w:style w:type="paragraph" w:styleId="Titre7">
    <w:name w:val="heading 7"/>
    <w:basedOn w:val="Normal"/>
    <w:next w:val="Normal"/>
    <w:link w:val="Titre7Car"/>
    <w:semiHidden/>
    <w:unhideWhenUsed/>
    <w:qFormat/>
    <w:rsid w:val="00272186"/>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27218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7218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a Car1,1. Titre 1 Car1,Section Heading Car1,1titre Car1,1titre1 Car1,1titre2 Car1,1titre3 Car1,1titre4 Car1,1titre5 Car1,1titre6 Car1,Titre : normal+police 18 points Car1,gras Car1,GSA1 Car1,Titre 11 Car1,t1.T1.Titre 1 Car1,t1.T1 Car1"/>
    <w:basedOn w:val="Policepardfaut"/>
    <w:link w:val="Titre1"/>
    <w:rsid w:val="00272186"/>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aliases w:val="Reset numbering Car1,H2 Car1,GSA2 Car1,Heading2 Car1,Heading21 Car1,Titre 21 Car1,t2.T2 Car1,H21 Car1,Heading 2 Car1,Fonctionnalité Car1,chapitre Car1,t2 Car1,h2 Car1,chapitre 1.1 Car1,h21 Car1,h22 Car1,T2 Car1,heading 2 Car1,l2 Car1,I2 Car1"/>
    <w:basedOn w:val="Policepardfaut"/>
    <w:link w:val="Titre2"/>
    <w:semiHidden/>
    <w:rsid w:val="00272186"/>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semiHidden/>
    <w:rsid w:val="00272186"/>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semiHidden/>
    <w:rsid w:val="00272186"/>
    <w:rPr>
      <w:rFonts w:asciiTheme="majorHAnsi" w:eastAsiaTheme="majorEastAsia" w:hAnsiTheme="majorHAnsi" w:cstheme="majorBidi"/>
      <w:i/>
      <w:iCs/>
      <w:color w:val="2E74B5" w:themeColor="accent1" w:themeShade="BF"/>
      <w:sz w:val="24"/>
      <w:szCs w:val="20"/>
      <w:lang w:eastAsia="fr-FR"/>
    </w:rPr>
  </w:style>
  <w:style w:type="character" w:customStyle="1" w:styleId="Titre5Car">
    <w:name w:val="Titre 5 Car"/>
    <w:basedOn w:val="Policepardfaut"/>
    <w:link w:val="Titre5"/>
    <w:semiHidden/>
    <w:rsid w:val="00272186"/>
    <w:rPr>
      <w:rFonts w:asciiTheme="majorHAnsi" w:eastAsiaTheme="majorEastAsia" w:hAnsiTheme="majorHAnsi" w:cstheme="majorBidi"/>
      <w:color w:val="2E74B5" w:themeColor="accent1" w:themeShade="BF"/>
      <w:sz w:val="24"/>
      <w:szCs w:val="20"/>
      <w:lang w:eastAsia="fr-FR"/>
    </w:rPr>
  </w:style>
  <w:style w:type="character" w:customStyle="1" w:styleId="Titre6Car">
    <w:name w:val="Titre 6 Car"/>
    <w:basedOn w:val="Policepardfaut"/>
    <w:link w:val="Titre6"/>
    <w:semiHidden/>
    <w:rsid w:val="00272186"/>
    <w:rPr>
      <w:rFonts w:asciiTheme="majorHAnsi" w:eastAsiaTheme="majorEastAsia" w:hAnsiTheme="majorHAnsi" w:cstheme="majorBidi"/>
      <w:color w:val="1F4D78" w:themeColor="accent1" w:themeShade="7F"/>
      <w:sz w:val="24"/>
      <w:szCs w:val="20"/>
      <w:lang w:eastAsia="fr-FR"/>
    </w:rPr>
  </w:style>
  <w:style w:type="character" w:customStyle="1" w:styleId="Titre7Car">
    <w:name w:val="Titre 7 Car"/>
    <w:basedOn w:val="Policepardfaut"/>
    <w:link w:val="Titre7"/>
    <w:semiHidden/>
    <w:rsid w:val="00272186"/>
    <w:rPr>
      <w:rFonts w:asciiTheme="majorHAnsi" w:eastAsiaTheme="majorEastAsia" w:hAnsiTheme="majorHAnsi" w:cstheme="majorBidi"/>
      <w:i/>
      <w:iCs/>
      <w:color w:val="1F4D78" w:themeColor="accent1" w:themeShade="7F"/>
      <w:sz w:val="24"/>
      <w:szCs w:val="20"/>
      <w:lang w:eastAsia="fr-FR"/>
    </w:rPr>
  </w:style>
  <w:style w:type="character" w:customStyle="1" w:styleId="Titre8Car">
    <w:name w:val="Titre 8 Car"/>
    <w:basedOn w:val="Policepardfaut"/>
    <w:link w:val="Titre8"/>
    <w:semiHidden/>
    <w:rsid w:val="00272186"/>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semiHidden/>
    <w:rsid w:val="00272186"/>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uiPriority w:val="99"/>
    <w:unhideWhenUsed/>
    <w:rsid w:val="00272186"/>
    <w:rPr>
      <w:color w:val="0000FF"/>
      <w:u w:val="single"/>
    </w:rPr>
  </w:style>
  <w:style w:type="paragraph" w:styleId="TM1">
    <w:name w:val="toc 1"/>
    <w:basedOn w:val="Normal"/>
    <w:next w:val="Normal"/>
    <w:autoRedefine/>
    <w:uiPriority w:val="39"/>
    <w:semiHidden/>
    <w:unhideWhenUsed/>
    <w:rsid w:val="00272186"/>
    <w:pPr>
      <w:tabs>
        <w:tab w:val="left" w:pos="284"/>
        <w:tab w:val="right" w:leader="dot" w:pos="10195"/>
      </w:tabs>
      <w:spacing w:before="120" w:after="120"/>
    </w:pPr>
    <w:rPr>
      <w:rFonts w:ascii="Arial" w:hAnsi="Arial" w:cs="Arial"/>
      <w:b/>
      <w:bCs/>
      <w:caps/>
      <w:noProof/>
      <w:sz w:val="20"/>
    </w:rPr>
  </w:style>
  <w:style w:type="paragraph" w:styleId="TM2">
    <w:name w:val="toc 2"/>
    <w:basedOn w:val="Normal"/>
    <w:next w:val="Normal"/>
    <w:autoRedefine/>
    <w:uiPriority w:val="39"/>
    <w:semiHidden/>
    <w:unhideWhenUsed/>
    <w:rsid w:val="00272186"/>
    <w:pPr>
      <w:tabs>
        <w:tab w:val="left" w:pos="709"/>
        <w:tab w:val="right" w:leader="dot" w:pos="10206"/>
      </w:tabs>
      <w:ind w:left="240"/>
    </w:pPr>
    <w:rPr>
      <w:smallCaps/>
      <w:sz w:val="20"/>
    </w:rPr>
  </w:style>
  <w:style w:type="paragraph" w:styleId="Commentaire">
    <w:name w:val="annotation text"/>
    <w:basedOn w:val="Normal"/>
    <w:link w:val="CommentaireCar"/>
    <w:semiHidden/>
    <w:unhideWhenUsed/>
    <w:rsid w:val="00272186"/>
    <w:pPr>
      <w:spacing w:before="60" w:after="60"/>
      <w:jc w:val="both"/>
    </w:pPr>
    <w:rPr>
      <w:rFonts w:ascii="Arial" w:hAnsi="Arial"/>
      <w:sz w:val="20"/>
    </w:rPr>
  </w:style>
  <w:style w:type="character" w:customStyle="1" w:styleId="CommentaireCar">
    <w:name w:val="Commentaire Car"/>
    <w:basedOn w:val="Policepardfaut"/>
    <w:link w:val="Commentaire"/>
    <w:semiHidden/>
    <w:rsid w:val="00272186"/>
    <w:rPr>
      <w:rFonts w:ascii="Arial" w:eastAsia="Times New Roman" w:hAnsi="Arial" w:cs="Times New Roman"/>
      <w:sz w:val="20"/>
      <w:szCs w:val="20"/>
      <w:lang w:eastAsia="fr-FR"/>
    </w:rPr>
  </w:style>
  <w:style w:type="paragraph" w:styleId="Paragraphedeliste">
    <w:name w:val="List Paragraph"/>
    <w:basedOn w:val="Normal"/>
    <w:uiPriority w:val="34"/>
    <w:qFormat/>
    <w:rsid w:val="00272186"/>
    <w:pPr>
      <w:ind w:left="720"/>
      <w:contextualSpacing/>
    </w:pPr>
  </w:style>
  <w:style w:type="paragraph" w:customStyle="1" w:styleId="en-ttedg">
    <w:name w:val="en-tête dg"/>
    <w:basedOn w:val="Normal"/>
    <w:rsid w:val="00272186"/>
    <w:pPr>
      <w:spacing w:line="240" w:lineRule="exact"/>
    </w:pPr>
    <w:rPr>
      <w:rFonts w:ascii="Arial" w:hAnsi="Arial"/>
      <w:b/>
      <w:caps/>
      <w:sz w:val="18"/>
    </w:rPr>
  </w:style>
  <w:style w:type="paragraph" w:customStyle="1" w:styleId="adresse-date">
    <w:name w:val="adresse-date"/>
    <w:basedOn w:val="Normal"/>
    <w:rsid w:val="00272186"/>
    <w:pPr>
      <w:spacing w:line="270" w:lineRule="exact"/>
    </w:pPr>
  </w:style>
  <w:style w:type="paragraph" w:customStyle="1" w:styleId="en-ttedirection">
    <w:name w:val="en-tête direction"/>
    <w:basedOn w:val="en-ttedg"/>
    <w:rsid w:val="00272186"/>
    <w:pPr>
      <w:spacing w:before="40"/>
    </w:pPr>
    <w:rPr>
      <w:b w:val="0"/>
    </w:rPr>
  </w:style>
  <w:style w:type="paragraph" w:customStyle="1" w:styleId="CorpsTexte">
    <w:name w:val="_Corps Texte"/>
    <w:basedOn w:val="Normal"/>
    <w:rsid w:val="00272186"/>
    <w:pPr>
      <w:spacing w:before="120"/>
      <w:ind w:left="567"/>
      <w:jc w:val="both"/>
    </w:pPr>
    <w:rPr>
      <w:rFonts w:ascii="Arial" w:hAnsi="Arial" w:cs="Arial"/>
      <w:kern w:val="32"/>
      <w:sz w:val="20"/>
      <w:szCs w:val="32"/>
    </w:rPr>
  </w:style>
  <w:style w:type="paragraph" w:customStyle="1" w:styleId="Default">
    <w:name w:val="Default"/>
    <w:rsid w:val="00272186"/>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styleId="Appelnotedebasdep">
    <w:name w:val="footnote reference"/>
    <w:uiPriority w:val="99"/>
    <w:semiHidden/>
    <w:unhideWhenUsed/>
    <w:rsid w:val="00272186"/>
    <w:rPr>
      <w:position w:val="8"/>
      <w:sz w:val="12"/>
    </w:rPr>
  </w:style>
  <w:style w:type="character" w:styleId="Marquedecommentaire">
    <w:name w:val="annotation reference"/>
    <w:semiHidden/>
    <w:unhideWhenUsed/>
    <w:rsid w:val="00272186"/>
    <w:rPr>
      <w:sz w:val="16"/>
      <w:szCs w:val="16"/>
    </w:rPr>
  </w:style>
  <w:style w:type="paragraph" w:styleId="Textedebulles">
    <w:name w:val="Balloon Text"/>
    <w:basedOn w:val="Normal"/>
    <w:link w:val="TextedebullesCar"/>
    <w:uiPriority w:val="99"/>
    <w:semiHidden/>
    <w:unhideWhenUsed/>
    <w:rsid w:val="00272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186"/>
    <w:rPr>
      <w:rFonts w:ascii="Segoe UI" w:eastAsia="Times New Roman" w:hAnsi="Segoe UI" w:cs="Segoe UI"/>
      <w:sz w:val="18"/>
      <w:szCs w:val="18"/>
      <w:lang w:eastAsia="fr-FR"/>
    </w:rPr>
  </w:style>
  <w:style w:type="paragraph" w:styleId="En-tte">
    <w:name w:val="header"/>
    <w:basedOn w:val="Normal"/>
    <w:link w:val="En-tteCar"/>
    <w:unhideWhenUsed/>
    <w:rsid w:val="00272186"/>
    <w:pPr>
      <w:tabs>
        <w:tab w:val="center" w:pos="4536"/>
        <w:tab w:val="right" w:pos="9072"/>
      </w:tabs>
    </w:pPr>
  </w:style>
  <w:style w:type="character" w:customStyle="1" w:styleId="En-tteCar">
    <w:name w:val="En-tête Car"/>
    <w:basedOn w:val="Policepardfaut"/>
    <w:link w:val="En-tte"/>
    <w:rsid w:val="00272186"/>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272186"/>
    <w:pPr>
      <w:tabs>
        <w:tab w:val="center" w:pos="4536"/>
        <w:tab w:val="right" w:pos="9072"/>
      </w:tabs>
    </w:pPr>
  </w:style>
  <w:style w:type="character" w:customStyle="1" w:styleId="PieddepageCar">
    <w:name w:val="Pied de page Car"/>
    <w:basedOn w:val="Policepardfaut"/>
    <w:link w:val="Pieddepage"/>
    <w:uiPriority w:val="99"/>
    <w:rsid w:val="00272186"/>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7372">
      <w:bodyDiv w:val="1"/>
      <w:marLeft w:val="0"/>
      <w:marRight w:val="0"/>
      <w:marTop w:val="0"/>
      <w:marBottom w:val="0"/>
      <w:divBdr>
        <w:top w:val="none" w:sz="0" w:space="0" w:color="auto"/>
        <w:left w:val="none" w:sz="0" w:space="0" w:color="auto"/>
        <w:bottom w:val="none" w:sz="0" w:space="0" w:color="auto"/>
        <w:right w:val="none" w:sz="0" w:space="0" w:color="auto"/>
      </w:divBdr>
    </w:div>
    <w:div w:id="1895921826">
      <w:bodyDiv w:val="1"/>
      <w:marLeft w:val="0"/>
      <w:marRight w:val="0"/>
      <w:marTop w:val="0"/>
      <w:marBottom w:val="0"/>
      <w:divBdr>
        <w:top w:val="none" w:sz="0" w:space="0" w:color="auto"/>
        <w:left w:val="none" w:sz="0" w:space="0" w:color="auto"/>
        <w:bottom w:val="none" w:sz="0" w:space="0" w:color="auto"/>
        <w:right w:val="none" w:sz="0" w:space="0" w:color="auto"/>
      </w:divBdr>
      <w:divsChild>
        <w:div w:id="55863693">
          <w:marLeft w:val="0"/>
          <w:marRight w:val="0"/>
          <w:marTop w:val="0"/>
          <w:marBottom w:val="0"/>
          <w:divBdr>
            <w:top w:val="none" w:sz="0" w:space="0" w:color="auto"/>
            <w:left w:val="none" w:sz="0" w:space="0" w:color="auto"/>
            <w:bottom w:val="none" w:sz="0" w:space="0" w:color="auto"/>
            <w:right w:val="none" w:sz="0" w:space="0" w:color="auto"/>
          </w:divBdr>
          <w:divsChild>
            <w:div w:id="19437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intra\partages\UA2707_Publi\7-ORGANISATION\7-3-Gestion_reportings\2025\note%20technique\note-technique-2024-01_xbrl_reporting_resolution_VF%20-%20Copie.doc" TargetMode="External"/><Relationship Id="rId18" Type="http://schemas.openxmlformats.org/officeDocument/2006/relationships/hyperlink" Target="file:///\\intra\partages\UA2707_Publi\7-ORGANISATION\7-3-Gestion_reportings\2025\note%20technique\note-technique-2024-01_xbrl_reporting_resolution_VF%20-%20Copie.doc" TargetMode="External"/><Relationship Id="rId26" Type="http://schemas.openxmlformats.org/officeDocument/2006/relationships/hyperlink" Target="file:///\\intra\partages\UA2707_Publi\7-ORGANISATION\7-3-Gestion_reportings\2025\note%20technique\note-technique-2024-01_xbrl_reporting_resolution_VF%20-%20Copie.doc"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file:///\\intra\partages\UA2707_Publi\7-ORGANISATION\7-3-Gestion_reportings\2025\note%20technique\note-technique-2024-01_xbrl_reporting_resolution_VF%20-%20Copie.doc" TargetMode="External"/><Relationship Id="rId34" Type="http://schemas.openxmlformats.org/officeDocument/2006/relationships/hyperlink" Target="https://www.eba.europa.eu/risk-and-data-analysis/reporting-frameworks/reporting-framework-35" TargetMode="External"/><Relationship Id="rId42" Type="http://schemas.openxmlformats.org/officeDocument/2006/relationships/hyperlink" Target="http://www.srb.europa.eu/eu/fr/xbrl/fws/res/cp-2017-15/2024-07-15/mod/cir.xsd" TargetMode="External"/><Relationship Id="rId47" Type="http://schemas.openxmlformats.org/officeDocument/2006/relationships/hyperlink" Target="https://www.legifrance.gouv.fr/download/pdf?id=iTzB6e7RHr-52RnwucdDdcrti9Ae2GWWMNCvmoJferI"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file:///\\intra\partages\UA2707_Publi\7-ORGANISATION\7-3-Gestion_reportings\2025\note%20technique\note-technique-2024-01_xbrl_reporting_resolution_VF%20-%20Copie.doc" TargetMode="External"/><Relationship Id="rId17" Type="http://schemas.openxmlformats.org/officeDocument/2006/relationships/hyperlink" Target="file:///\\intra\partages\UA2707_Publi\7-ORGANISATION\7-3-Gestion_reportings\2025\note%20technique\note-technique-2024-01_xbrl_reporting_resolution_VF%20-%20Copie.doc" TargetMode="External"/><Relationship Id="rId25" Type="http://schemas.openxmlformats.org/officeDocument/2006/relationships/hyperlink" Target="file:///\\intra\partages\UA2707_Publi\7-ORGANISATION\7-3-Gestion_reportings\2025\note%20technique\note-technique-2024-01_xbrl_reporting_resolution_VF%20-%20Copie.doc" TargetMode="External"/><Relationship Id="rId33" Type="http://schemas.openxmlformats.org/officeDocument/2006/relationships/hyperlink" Target="https://www.srb.europa.eu/en/content/notification-impracticability-include-bail-recognition-clauses-contracts-srb-approach-and" TargetMode="External"/><Relationship Id="rId38" Type="http://schemas.openxmlformats.org/officeDocument/2006/relationships/image" Target="media/image2.png"/><Relationship Id="rId46"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file:///\\intra\partages\UA2707_Publi\7-ORGANISATION\7-3-Gestion_reportings\2025\note%20technique\note-technique-2024-01_xbrl_reporting_resolution_VF%20-%20Copie.doc" TargetMode="External"/><Relationship Id="rId20" Type="http://schemas.openxmlformats.org/officeDocument/2006/relationships/hyperlink" Target="file:///\\intra\partages\UA2707_Publi\7-ORGANISATION\7-3-Gestion_reportings\2025\note%20technique\note-technique-2024-01_xbrl_reporting_resolution_VF%20-%20Copie.doc" TargetMode="External"/><Relationship Id="rId29" Type="http://schemas.openxmlformats.org/officeDocument/2006/relationships/hyperlink" Target="file:///\\intra\partages\UA2707_Publi\7-ORGANISATION\7-3-Gestion_reportings\2025\note%20technique\note-technique-2024-01_xbrl_reporting_resolution_VF%20-%20Copie.doc"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intra\partages\UA2707_Publi\7-ORGANISATION\7-3-Gestion_reportings\2025\note%20technique\note-technique-2024-01_xbrl_reporting_resolution_VF%20-%20Copie.doc" TargetMode="External"/><Relationship Id="rId24" Type="http://schemas.openxmlformats.org/officeDocument/2006/relationships/hyperlink" Target="file:///\\intra\partages\UA2707_Publi\7-ORGANISATION\7-3-Gestion_reportings\2025\note%20technique\note-technique-2024-01_xbrl_reporting_resolution_VF%20-%20Copie.doc" TargetMode="External"/><Relationship Id="rId32" Type="http://schemas.openxmlformats.org/officeDocument/2006/relationships/hyperlink" Target="https://www.srb.europa.eu/en/content/2025-resolution-reporting" TargetMode="External"/><Relationship Id="rId37" Type="http://schemas.openxmlformats.org/officeDocument/2006/relationships/hyperlink" Target="https://esurfi-banque.banque-france.fr/current/themes/resolution/fonds-de-resolution-campagne-2025" TargetMode="External"/><Relationship Id="rId40" Type="http://schemas.openxmlformats.org/officeDocument/2006/relationships/image" Target="media/image4.png"/><Relationship Id="rId45"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file:///\\intra\partages\UA2707_Publi\7-ORGANISATION\7-3-Gestion_reportings\2025\note%20technique\note-technique-2024-01_xbrl_reporting_resolution_VF%20-%20Copie.doc" TargetMode="External"/><Relationship Id="rId23" Type="http://schemas.openxmlformats.org/officeDocument/2006/relationships/hyperlink" Target="file:///\\intra\partages\UA2707_Publi\7-ORGANISATION\7-3-Gestion_reportings\2025\note%20technique\note-technique-2024-01_xbrl_reporting_resolution_VF%20-%20Copie.doc" TargetMode="External"/><Relationship Id="rId28" Type="http://schemas.openxmlformats.org/officeDocument/2006/relationships/hyperlink" Target="file:///\\intra\partages\UA2707_Publi\7-ORGANISATION\7-3-Gestion_reportings\2025\note%20technique\note-technique-2024-01_xbrl_reporting_resolution_VF%20-%20Copie.doc" TargetMode="External"/><Relationship Id="rId36" Type="http://schemas.openxmlformats.org/officeDocument/2006/relationships/hyperlink" Target="https://esurfi-banque.banque-france.fr/current/page-tableau-filtre/informations-techniques?page=1" TargetMode="External"/><Relationship Id="rId49" Type="http://schemas.openxmlformats.org/officeDocument/2006/relationships/header" Target="header1.xml"/><Relationship Id="rId10" Type="http://schemas.openxmlformats.org/officeDocument/2006/relationships/hyperlink" Target="file:///\\intra\partages\UA2707_Publi\7-ORGANISATION\7-3-Gestion_reportings\2025\note%20technique\note-technique-2024-01_xbrl_reporting_resolution_VF%20-%20Copie.doc" TargetMode="External"/><Relationship Id="rId19" Type="http://schemas.openxmlformats.org/officeDocument/2006/relationships/hyperlink" Target="file:///\\intra\partages\UA2707_Publi\7-ORGANISATION\7-3-Gestion_reportings\2025\note%20technique\note-technique-2024-01_xbrl_reporting_resolution_VF%20-%20Copie.doc" TargetMode="External"/><Relationship Id="rId31" Type="http://schemas.openxmlformats.org/officeDocument/2006/relationships/hyperlink" Target="https://esurfi-banque.banque-france.fr/current/themes/resolution/fonds-de-resolution-campagne-2025" TargetMode="External"/><Relationship Id="rId44" Type="http://schemas.openxmlformats.org/officeDocument/2006/relationships/image" Target="media/image6.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2718-FONGAR-UT@acpr.banque-france.fr" TargetMode="External"/><Relationship Id="rId14" Type="http://schemas.openxmlformats.org/officeDocument/2006/relationships/hyperlink" Target="file:///\\intra\partages\UA2707_Publi\7-ORGANISATION\7-3-Gestion_reportings\2025\note%20technique\note-technique-2024-01_xbrl_reporting_resolution_VF%20-%20Copie.doc" TargetMode="External"/><Relationship Id="rId22" Type="http://schemas.openxmlformats.org/officeDocument/2006/relationships/hyperlink" Target="file:///\\intra\partages\UA2707_Publi\7-ORGANISATION\7-3-Gestion_reportings\2025\note%20technique\note-technique-2024-01_xbrl_reporting_resolution_VF%20-%20Copie.doc" TargetMode="External"/><Relationship Id="rId27" Type="http://schemas.openxmlformats.org/officeDocument/2006/relationships/hyperlink" Target="file:///\\intra\partages\UA2707_Publi\7-ORGANISATION\7-3-Gestion_reportings\2025\note%20technique\note-technique-2024-01_xbrl_reporting_resolution_VF%20-%20Copie.doc" TargetMode="External"/><Relationship Id="rId30" Type="http://schemas.openxmlformats.org/officeDocument/2006/relationships/hyperlink" Target="https://www.srb.europa.eu/en/content/2025-srf-contributions-cycle" TargetMode="External"/><Relationship Id="rId35" Type="http://schemas.openxmlformats.org/officeDocument/2006/relationships/hyperlink" Target="https://www.eba.europa.eu/risk-and-data-analysis/reporting-frameworks/reporting-framework-35" TargetMode="External"/><Relationship Id="rId43" Type="http://schemas.openxmlformats.org/officeDocument/2006/relationships/hyperlink" Target="https://www.srb.europa.eu/system/files/media/document/2024-09-27_SRB_RES_Filing_Rules_v8.0.pdf" TargetMode="External"/><Relationship Id="rId48" Type="http://schemas.openxmlformats.org/officeDocument/2006/relationships/hyperlink" Target="https://esurfi-banque.banque-france.fr/current/page-tableau-filtre/informations-techniques?page=1" TargetMode="External"/><Relationship Id="rId8" Type="http://schemas.openxmlformats.org/officeDocument/2006/relationships/image" Target="cid:image002.png@01D65B54.23514F00" TargetMode="Externa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3668</Words>
  <Characters>20175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CHELIHI Amael (SGACPR DR)</dc:creator>
  <cp:keywords/>
  <dc:description/>
  <cp:lastModifiedBy>CHELIHI Amael (SGACPR DR)</cp:lastModifiedBy>
  <cp:revision>3</cp:revision>
  <dcterms:created xsi:type="dcterms:W3CDTF">2024-10-25T08:58:00Z</dcterms:created>
  <dcterms:modified xsi:type="dcterms:W3CDTF">2024-10-25T09:09:00Z</dcterms:modified>
</cp:coreProperties>
</file>